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48"/>
          <w:szCs w:val="48"/>
          <w:u w:val="none"/>
        </w:rPr>
      </w:pPr>
      <w:r>
        <w:rPr>
          <w:rFonts w:hint="eastAsia" w:ascii="微软雅黑" w:hAnsi="微软雅黑" w:eastAsia="微软雅黑" w:cs="微软雅黑"/>
          <w:i w:val="0"/>
          <w:caps w:val="0"/>
          <w:color w:val="333333"/>
          <w:spacing w:val="0"/>
          <w:sz w:val="48"/>
          <w:szCs w:val="48"/>
          <w:u w:val="none"/>
          <w:bdr w:val="none" w:color="auto" w:sz="0" w:space="0"/>
          <w:shd w:val="clear" w:fill="FFFFFF"/>
        </w:rPr>
        <w:t>关于小微企业和个体工商户所得税优惠政策的公告</w:t>
      </w:r>
    </w:p>
    <w:p>
      <w:pPr>
        <w:rPr>
          <w:rFonts w:ascii="微软雅黑" w:hAnsi="微软雅黑" w:eastAsia="微软雅黑" w:cs="微软雅黑"/>
          <w:i w:val="0"/>
          <w:caps w:val="0"/>
          <w:color w:val="666666"/>
          <w:spacing w:val="0"/>
          <w:sz w:val="21"/>
          <w:szCs w:val="21"/>
          <w:shd w:val="clear" w:fill="F3F3F3"/>
        </w:rPr>
      </w:pPr>
      <w:r>
        <w:rPr>
          <w:rFonts w:ascii="微软雅黑" w:hAnsi="微软雅黑" w:eastAsia="微软雅黑" w:cs="微软雅黑"/>
          <w:i w:val="0"/>
          <w:caps w:val="0"/>
          <w:color w:val="666666"/>
          <w:spacing w:val="0"/>
          <w:sz w:val="21"/>
          <w:szCs w:val="21"/>
          <w:shd w:val="clear" w:fill="F3F3F3"/>
        </w:rPr>
        <w:t>：财政部 税务总局公告2023年第6号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666666"/>
          <w:spacing w:val="0"/>
          <w:kern w:val="0"/>
          <w:sz w:val="28"/>
          <w:szCs w:val="28"/>
          <w:u w:val="none"/>
          <w:bdr w:val="none" w:color="auto" w:sz="0" w:space="0"/>
          <w:shd w:val="clear" w:fill="FFFFFF"/>
          <w:lang w:val="en-US" w:eastAsia="zh-CN" w:bidi="ar"/>
        </w:rPr>
        <w:t>为支持小微企业和个体工商户发展，现将有关税收政策公告如下：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一、对小型微利企业年应纳税所得额不超过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100</w:t>
      </w:r>
      <w:r>
        <w:rPr>
          <w:rFonts w:hint="eastAsia" w:ascii="微软雅黑" w:hAnsi="微软雅黑" w:eastAsia="微软雅黑" w:cs="微软雅黑"/>
          <w:i w:val="0"/>
          <w:caps w:val="0"/>
          <w:color w:val="333333"/>
          <w:spacing w:val="0"/>
          <w:sz w:val="28"/>
          <w:szCs w:val="28"/>
          <w:u w:val="none"/>
          <w:bdr w:val="none" w:color="auto" w:sz="0" w:space="0"/>
          <w:shd w:val="clear" w:fill="FFFFFF"/>
        </w:rPr>
        <w:t>万元的部分，减按</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25%</w:t>
      </w:r>
      <w:r>
        <w:rPr>
          <w:rFonts w:hint="eastAsia" w:ascii="微软雅黑" w:hAnsi="微软雅黑" w:eastAsia="微软雅黑" w:cs="微软雅黑"/>
          <w:i w:val="0"/>
          <w:caps w:val="0"/>
          <w:color w:val="333333"/>
          <w:spacing w:val="0"/>
          <w:sz w:val="28"/>
          <w:szCs w:val="28"/>
          <w:u w:val="none"/>
          <w:bdr w:val="none" w:color="auto" w:sz="0" w:space="0"/>
          <w:shd w:val="clear" w:fill="FFFFFF"/>
        </w:rPr>
        <w:t>计入应纳税所得额，按</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w:t>
      </w:r>
      <w:r>
        <w:rPr>
          <w:rFonts w:hint="eastAsia" w:ascii="微软雅黑" w:hAnsi="微软雅黑" w:eastAsia="微软雅黑" w:cs="微软雅黑"/>
          <w:i w:val="0"/>
          <w:caps w:val="0"/>
          <w:color w:val="333333"/>
          <w:spacing w:val="0"/>
          <w:sz w:val="28"/>
          <w:szCs w:val="28"/>
          <w:u w:val="none"/>
          <w:bdr w:val="none" w:color="auto" w:sz="0" w:space="0"/>
          <w:shd w:val="clear" w:fill="FFFFFF"/>
        </w:rPr>
        <w:t>的税率缴纳企业所得税。</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二、对个体工商户年应纳税所得额不超过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100</w:t>
      </w:r>
      <w:r>
        <w:rPr>
          <w:rFonts w:hint="eastAsia" w:ascii="微软雅黑" w:hAnsi="微软雅黑" w:eastAsia="微软雅黑" w:cs="微软雅黑"/>
          <w:i w:val="0"/>
          <w:caps w:val="0"/>
          <w:color w:val="333333"/>
          <w:spacing w:val="0"/>
          <w:sz w:val="28"/>
          <w:szCs w:val="28"/>
          <w:u w:val="none"/>
          <w:bdr w:val="none" w:color="auto" w:sz="0" w:space="0"/>
          <w:shd w:val="clear" w:fill="FFFFFF"/>
        </w:rPr>
        <w:t>万元的部分，在现行优惠政策基础上，减半征收个人所得税。</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三、本公告所称小型微利企业，是指从事国家非限制和禁止行业，且同时符合年度应纳税所得额不超过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300</w:t>
      </w:r>
      <w:r>
        <w:rPr>
          <w:rFonts w:hint="eastAsia" w:ascii="微软雅黑" w:hAnsi="微软雅黑" w:eastAsia="微软雅黑" w:cs="微软雅黑"/>
          <w:i w:val="0"/>
          <w:caps w:val="0"/>
          <w:color w:val="333333"/>
          <w:spacing w:val="0"/>
          <w:sz w:val="28"/>
          <w:szCs w:val="28"/>
          <w:u w:val="none"/>
          <w:bdr w:val="none" w:color="auto" w:sz="0" w:space="0"/>
          <w:shd w:val="clear" w:fill="FFFFFF"/>
        </w:rPr>
        <w:t>万元、从业人数不超过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300</w:t>
      </w:r>
      <w:r>
        <w:rPr>
          <w:rFonts w:hint="eastAsia" w:ascii="微软雅黑" w:hAnsi="微软雅黑" w:eastAsia="微软雅黑" w:cs="微软雅黑"/>
          <w:i w:val="0"/>
          <w:caps w:val="0"/>
          <w:color w:val="333333"/>
          <w:spacing w:val="0"/>
          <w:sz w:val="28"/>
          <w:szCs w:val="28"/>
          <w:u w:val="none"/>
          <w:bdr w:val="none" w:color="auto" w:sz="0" w:space="0"/>
          <w:shd w:val="clear" w:fill="FFFFFF"/>
        </w:rPr>
        <w:t>人、资产总额不超过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5000</w:t>
      </w:r>
      <w:r>
        <w:rPr>
          <w:rFonts w:hint="eastAsia" w:ascii="微软雅黑" w:hAnsi="微软雅黑" w:eastAsia="微软雅黑" w:cs="微软雅黑"/>
          <w:i w:val="0"/>
          <w:caps w:val="0"/>
          <w:color w:val="333333"/>
          <w:spacing w:val="0"/>
          <w:sz w:val="28"/>
          <w:szCs w:val="28"/>
          <w:u w:val="none"/>
          <w:bdr w:val="none" w:color="auto" w:sz="0" w:space="0"/>
          <w:shd w:val="clear" w:fill="FFFFFF"/>
        </w:rPr>
        <w:t>万元等三个条件的企业。</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从业人数，包括与企业建立劳动关系的职工人数和企业接受的劳务派遣用工人数。所称从业人数和资产总额指标，应按企业全年的季度平均值确定。具体计算公式如下：</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季度平均值＝（季初值＋季末值）÷</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全年季度平均值＝全年各季度平均值之和÷</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4  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年度中间开业或者终止经营活动的，以其实际经营期作为一个纳税年度确定上述相关指标。</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四、本公告执行期限为</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日至</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2024</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12</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31</w:t>
      </w:r>
      <w:r>
        <w:rPr>
          <w:rFonts w:hint="eastAsia" w:ascii="微软雅黑" w:hAnsi="微软雅黑" w:eastAsia="微软雅黑" w:cs="微软雅黑"/>
          <w:i w:val="0"/>
          <w:caps w:val="0"/>
          <w:color w:val="333333"/>
          <w:spacing w:val="0"/>
          <w:sz w:val="28"/>
          <w:szCs w:val="28"/>
          <w:u w:val="none"/>
          <w:bdr w:val="none" w:color="auto" w:sz="0" w:space="0"/>
          <w:shd w:val="clear" w:fill="FFFFFF"/>
        </w:rPr>
        <w:t>日。</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特此公告。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jc w:val="right"/>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财政部 税务总局</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jc w:val="right"/>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26</w:t>
      </w:r>
      <w:r>
        <w:rPr>
          <w:rFonts w:hint="eastAsia" w:ascii="微软雅黑" w:hAnsi="微软雅黑" w:eastAsia="微软雅黑" w:cs="微软雅黑"/>
          <w:i w:val="0"/>
          <w:caps w:val="0"/>
          <w:color w:val="333333"/>
          <w:spacing w:val="0"/>
          <w:sz w:val="28"/>
          <w:szCs w:val="28"/>
          <w:u w:val="none"/>
          <w:bdr w:val="none" w:color="auto" w:sz="0" w:space="0"/>
          <w:shd w:val="clear" w:fill="FFFFFF"/>
        </w:rPr>
        <w:t>日</w:t>
      </w:r>
    </w:p>
    <w:p>
      <w:pPr>
        <w:rPr>
          <w:rFonts w:ascii="微软雅黑" w:hAnsi="微软雅黑" w:eastAsia="微软雅黑" w:cs="微软雅黑"/>
          <w:i w:val="0"/>
          <w:caps w:val="0"/>
          <w:color w:val="666666"/>
          <w:spacing w:val="0"/>
          <w:sz w:val="21"/>
          <w:szCs w:val="21"/>
          <w:shd w:val="clear" w:fill="F3F3F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62382"/>
    <w:rsid w:val="4686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2023-10-27T08:13:00Z</dcterms:created>
  <dc:creator>Administrator</dc:creator>
  <cp:lastModifiedBy>Administrator</cp:lastModifiedBy>
  <dcterms:modified xsi:type="dcterms:W3CDTF">2023-10-27T08:14:02Z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