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48"/>
          <w:szCs w:val="48"/>
          <w:u w:val="none"/>
        </w:rPr>
      </w:pPr>
      <w:r>
        <w:rPr>
          <w:rFonts w:hint="eastAsia" w:ascii="微软雅黑" w:hAnsi="微软雅黑" w:eastAsia="微软雅黑" w:cs="微软雅黑"/>
          <w:i w:val="0"/>
          <w:caps w:val="0"/>
          <w:color w:val="333333"/>
          <w:spacing w:val="0"/>
          <w:sz w:val="48"/>
          <w:szCs w:val="48"/>
          <w:u w:val="none"/>
          <w:bdr w:val="none" w:color="auto" w:sz="0" w:space="0"/>
          <w:shd w:val="clear" w:fill="FFFFFF"/>
        </w:rPr>
        <w:t>财政部等三部门发布延续和优化新能源汽车车辆购置税减免政策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50" w:lineRule="atLeast"/>
        <w:ind w:left="0" w:right="0" w:firstLine="560"/>
        <w:jc w:val="center"/>
        <w:rPr>
          <w:rFonts w:ascii="微软雅黑" w:hAnsi="微软雅黑" w:eastAsia="微软雅黑" w:cs="微软雅黑"/>
          <w:i w:val="0"/>
          <w:caps w:val="0"/>
          <w:color w:val="666666"/>
          <w:spacing w:val="0"/>
          <w:sz w:val="27"/>
          <w:szCs w:val="27"/>
          <w:u w:val="none"/>
        </w:rPr>
      </w:pPr>
      <w:r>
        <w:rPr>
          <w:rFonts w:hint="eastAsia" w:ascii="宋体" w:hAnsi="宋体" w:eastAsia="宋体" w:cs="宋体"/>
          <w:i w:val="0"/>
          <w:caps w:val="0"/>
          <w:color w:val="222222"/>
          <w:spacing w:val="0"/>
          <w:sz w:val="28"/>
          <w:szCs w:val="28"/>
          <w:u w:val="none"/>
          <w:bdr w:val="none" w:color="auto" w:sz="0" w:space="0"/>
          <w:shd w:val="clear" w:fill="FFFFFF"/>
        </w:rPr>
        <w:t>财政部 税务总局 工业和信息化部公告</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2023</w:t>
      </w:r>
      <w:r>
        <w:rPr>
          <w:rFonts w:hint="eastAsia" w:ascii="宋体" w:hAnsi="宋体" w:eastAsia="宋体" w:cs="宋体"/>
          <w:i w:val="0"/>
          <w:caps w:val="0"/>
          <w:color w:val="222222"/>
          <w:spacing w:val="0"/>
          <w:sz w:val="28"/>
          <w:szCs w:val="28"/>
          <w:u w:val="none"/>
          <w:bdr w:val="none" w:color="auto" w:sz="0" w:space="0"/>
          <w:shd w:val="clear" w:fill="FFFFFF"/>
        </w:rPr>
        <w:t>年第</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10</w:t>
      </w:r>
      <w:r>
        <w:rPr>
          <w:rFonts w:hint="eastAsia" w:ascii="宋体" w:hAnsi="宋体" w:eastAsia="宋体" w:cs="宋体"/>
          <w:i w:val="0"/>
          <w:caps w:val="0"/>
          <w:color w:val="222222"/>
          <w:spacing w:val="0"/>
          <w:sz w:val="28"/>
          <w:szCs w:val="28"/>
          <w:u w:val="none"/>
          <w:bdr w:val="none" w:color="auto" w:sz="0" w:space="0"/>
          <w:shd w:val="clear" w:fill="FFFFFF"/>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50" w:lineRule="atLeast"/>
        <w:ind w:left="0" w:right="0" w:firstLine="560"/>
        <w:rPr>
          <w:rFonts w:hint="eastAsia" w:ascii="微软雅黑" w:hAnsi="微软雅黑" w:eastAsia="微软雅黑" w:cs="微软雅黑"/>
          <w:i w:val="0"/>
          <w:caps w:val="0"/>
          <w:color w:val="666666"/>
          <w:spacing w:val="0"/>
          <w:sz w:val="27"/>
          <w:szCs w:val="27"/>
          <w:u w:val="none"/>
        </w:rPr>
      </w:pPr>
      <w:r>
        <w:rPr>
          <w:rFonts w:hint="eastAsia" w:ascii="宋体" w:hAnsi="宋体" w:eastAsia="宋体" w:cs="宋体"/>
          <w:i w:val="0"/>
          <w:caps w:val="0"/>
          <w:color w:val="222222"/>
          <w:spacing w:val="0"/>
          <w:sz w:val="28"/>
          <w:szCs w:val="28"/>
          <w:u w:val="none"/>
          <w:bdr w:val="none" w:color="auto" w:sz="0" w:space="0"/>
          <w:shd w:val="clear" w:fill="FFFFFF"/>
        </w:rPr>
        <w:t>为支持新能源汽车产业发展，促进汽车消费，现就延续和优化新能源汽车车辆购置税减免政策有关事项公告如下：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50" w:lineRule="atLeast"/>
        <w:ind w:left="0" w:right="0" w:firstLine="560"/>
        <w:rPr>
          <w:rFonts w:hint="eastAsia" w:ascii="微软雅黑" w:hAnsi="微软雅黑" w:eastAsia="微软雅黑" w:cs="微软雅黑"/>
          <w:i w:val="0"/>
          <w:caps w:val="0"/>
          <w:color w:val="666666"/>
          <w:spacing w:val="0"/>
          <w:sz w:val="27"/>
          <w:szCs w:val="27"/>
          <w:u w:val="none"/>
        </w:rPr>
      </w:pPr>
      <w:r>
        <w:rPr>
          <w:rFonts w:hint="eastAsia" w:ascii="宋体" w:hAnsi="宋体" w:eastAsia="宋体" w:cs="宋体"/>
          <w:i w:val="0"/>
          <w:caps w:val="0"/>
          <w:color w:val="222222"/>
          <w:spacing w:val="0"/>
          <w:sz w:val="28"/>
          <w:szCs w:val="28"/>
          <w:u w:val="none"/>
          <w:bdr w:val="none" w:color="auto" w:sz="0" w:space="0"/>
          <w:shd w:val="clear" w:fill="FFFFFF"/>
        </w:rPr>
        <w:t>一、对购置日期在</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2024</w:t>
      </w:r>
      <w:r>
        <w:rPr>
          <w:rFonts w:hint="eastAsia" w:ascii="宋体" w:hAnsi="宋体" w:eastAsia="宋体" w:cs="宋体"/>
          <w:i w:val="0"/>
          <w:caps w:val="0"/>
          <w:color w:val="222222"/>
          <w:spacing w:val="0"/>
          <w:sz w:val="28"/>
          <w:szCs w:val="28"/>
          <w:u w:val="none"/>
          <w:bdr w:val="none" w:color="auto" w:sz="0" w:space="0"/>
          <w:shd w:val="clear" w:fill="FFFFFF"/>
        </w:rPr>
        <w:t>年</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w:t>
      </w:r>
      <w:r>
        <w:rPr>
          <w:rFonts w:hint="eastAsia" w:ascii="宋体" w:hAnsi="宋体" w:eastAsia="宋体" w:cs="宋体"/>
          <w:i w:val="0"/>
          <w:caps w:val="0"/>
          <w:color w:val="222222"/>
          <w:spacing w:val="0"/>
          <w:sz w:val="28"/>
          <w:szCs w:val="28"/>
          <w:u w:val="none"/>
          <w:bdr w:val="none" w:color="auto" w:sz="0" w:space="0"/>
          <w:shd w:val="clear" w:fill="FFFFFF"/>
        </w:rPr>
        <w:t>月</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w:t>
      </w:r>
      <w:r>
        <w:rPr>
          <w:rFonts w:hint="eastAsia" w:ascii="宋体" w:hAnsi="宋体" w:eastAsia="宋体" w:cs="宋体"/>
          <w:i w:val="0"/>
          <w:caps w:val="0"/>
          <w:color w:val="222222"/>
          <w:spacing w:val="0"/>
          <w:sz w:val="28"/>
          <w:szCs w:val="28"/>
          <w:u w:val="none"/>
          <w:bdr w:val="none" w:color="auto" w:sz="0" w:space="0"/>
          <w:shd w:val="clear" w:fill="FFFFFF"/>
        </w:rPr>
        <w:t>日至</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2025</w:t>
      </w:r>
      <w:r>
        <w:rPr>
          <w:rFonts w:hint="eastAsia" w:ascii="宋体" w:hAnsi="宋体" w:eastAsia="宋体" w:cs="宋体"/>
          <w:i w:val="0"/>
          <w:caps w:val="0"/>
          <w:color w:val="222222"/>
          <w:spacing w:val="0"/>
          <w:sz w:val="28"/>
          <w:szCs w:val="28"/>
          <w:u w:val="none"/>
          <w:bdr w:val="none" w:color="auto" w:sz="0" w:space="0"/>
          <w:shd w:val="clear" w:fill="FFFFFF"/>
        </w:rPr>
        <w:t>年</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12</w:t>
      </w:r>
      <w:r>
        <w:rPr>
          <w:rFonts w:hint="eastAsia" w:ascii="宋体" w:hAnsi="宋体" w:eastAsia="宋体" w:cs="宋体"/>
          <w:i w:val="0"/>
          <w:caps w:val="0"/>
          <w:color w:val="222222"/>
          <w:spacing w:val="0"/>
          <w:sz w:val="28"/>
          <w:szCs w:val="28"/>
          <w:u w:val="none"/>
          <w:bdr w:val="none" w:color="auto" w:sz="0" w:space="0"/>
          <w:shd w:val="clear" w:fill="FFFFFF"/>
        </w:rPr>
        <w:t>月</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31</w:t>
      </w:r>
      <w:r>
        <w:rPr>
          <w:rFonts w:hint="eastAsia" w:ascii="宋体" w:hAnsi="宋体" w:eastAsia="宋体" w:cs="宋体"/>
          <w:i w:val="0"/>
          <w:caps w:val="0"/>
          <w:color w:val="222222"/>
          <w:spacing w:val="0"/>
          <w:sz w:val="28"/>
          <w:szCs w:val="28"/>
          <w:u w:val="none"/>
          <w:bdr w:val="none" w:color="auto" w:sz="0" w:space="0"/>
          <w:shd w:val="clear" w:fill="FFFFFF"/>
        </w:rPr>
        <w:t>日期间的新能源汽车免征车辆购置税，其中，每辆新能源乘用车免税额不超过</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3</w:t>
      </w:r>
      <w:r>
        <w:rPr>
          <w:rFonts w:hint="eastAsia" w:ascii="宋体" w:hAnsi="宋体" w:eastAsia="宋体" w:cs="宋体"/>
          <w:i w:val="0"/>
          <w:caps w:val="0"/>
          <w:color w:val="222222"/>
          <w:spacing w:val="0"/>
          <w:sz w:val="28"/>
          <w:szCs w:val="28"/>
          <w:u w:val="none"/>
          <w:bdr w:val="none" w:color="auto" w:sz="0" w:space="0"/>
          <w:shd w:val="clear" w:fill="FFFFFF"/>
        </w:rPr>
        <w:t>万元；对购置日期在</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2026</w:t>
      </w:r>
      <w:r>
        <w:rPr>
          <w:rFonts w:hint="eastAsia" w:ascii="宋体" w:hAnsi="宋体" w:eastAsia="宋体" w:cs="宋体"/>
          <w:i w:val="0"/>
          <w:caps w:val="0"/>
          <w:color w:val="222222"/>
          <w:spacing w:val="0"/>
          <w:sz w:val="28"/>
          <w:szCs w:val="28"/>
          <w:u w:val="none"/>
          <w:bdr w:val="none" w:color="auto" w:sz="0" w:space="0"/>
          <w:shd w:val="clear" w:fill="FFFFFF"/>
        </w:rPr>
        <w:t>年</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w:t>
      </w:r>
      <w:r>
        <w:rPr>
          <w:rFonts w:hint="eastAsia" w:ascii="宋体" w:hAnsi="宋体" w:eastAsia="宋体" w:cs="宋体"/>
          <w:i w:val="0"/>
          <w:caps w:val="0"/>
          <w:color w:val="222222"/>
          <w:spacing w:val="0"/>
          <w:sz w:val="28"/>
          <w:szCs w:val="28"/>
          <w:u w:val="none"/>
          <w:bdr w:val="none" w:color="auto" w:sz="0" w:space="0"/>
          <w:shd w:val="clear" w:fill="FFFFFF"/>
        </w:rPr>
        <w:t>月</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w:t>
      </w:r>
      <w:r>
        <w:rPr>
          <w:rFonts w:hint="eastAsia" w:ascii="宋体" w:hAnsi="宋体" w:eastAsia="宋体" w:cs="宋体"/>
          <w:i w:val="0"/>
          <w:caps w:val="0"/>
          <w:color w:val="222222"/>
          <w:spacing w:val="0"/>
          <w:sz w:val="28"/>
          <w:szCs w:val="28"/>
          <w:u w:val="none"/>
          <w:bdr w:val="none" w:color="auto" w:sz="0" w:space="0"/>
          <w:shd w:val="clear" w:fill="FFFFFF"/>
        </w:rPr>
        <w:t>日至</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2027</w:t>
      </w:r>
      <w:r>
        <w:rPr>
          <w:rFonts w:hint="eastAsia" w:ascii="宋体" w:hAnsi="宋体" w:eastAsia="宋体" w:cs="宋体"/>
          <w:i w:val="0"/>
          <w:caps w:val="0"/>
          <w:color w:val="222222"/>
          <w:spacing w:val="0"/>
          <w:sz w:val="28"/>
          <w:szCs w:val="28"/>
          <w:u w:val="none"/>
          <w:bdr w:val="none" w:color="auto" w:sz="0" w:space="0"/>
          <w:shd w:val="clear" w:fill="FFFFFF"/>
        </w:rPr>
        <w:t>年</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12</w:t>
      </w:r>
      <w:r>
        <w:rPr>
          <w:rFonts w:hint="eastAsia" w:ascii="宋体" w:hAnsi="宋体" w:eastAsia="宋体" w:cs="宋体"/>
          <w:i w:val="0"/>
          <w:caps w:val="0"/>
          <w:color w:val="222222"/>
          <w:spacing w:val="0"/>
          <w:sz w:val="28"/>
          <w:szCs w:val="28"/>
          <w:u w:val="none"/>
          <w:bdr w:val="none" w:color="auto" w:sz="0" w:space="0"/>
          <w:shd w:val="clear" w:fill="FFFFFF"/>
        </w:rPr>
        <w:t>月</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31</w:t>
      </w:r>
      <w:r>
        <w:rPr>
          <w:rFonts w:hint="eastAsia" w:ascii="宋体" w:hAnsi="宋体" w:eastAsia="宋体" w:cs="宋体"/>
          <w:i w:val="0"/>
          <w:caps w:val="0"/>
          <w:color w:val="222222"/>
          <w:spacing w:val="0"/>
          <w:sz w:val="28"/>
          <w:szCs w:val="28"/>
          <w:u w:val="none"/>
          <w:bdr w:val="none" w:color="auto" w:sz="0" w:space="0"/>
          <w:shd w:val="clear" w:fill="FFFFFF"/>
        </w:rPr>
        <w:t>日期间的新能源汽车减半征收车辆购置税，其中，每辆新能源乘用车减税额不超过</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1.5</w:t>
      </w:r>
      <w:r>
        <w:rPr>
          <w:rFonts w:hint="eastAsia" w:ascii="宋体" w:hAnsi="宋体" w:eastAsia="宋体" w:cs="宋体"/>
          <w:i w:val="0"/>
          <w:caps w:val="0"/>
          <w:color w:val="222222"/>
          <w:spacing w:val="0"/>
          <w:sz w:val="28"/>
          <w:szCs w:val="28"/>
          <w:u w:val="none"/>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50" w:lineRule="atLeast"/>
        <w:ind w:left="0" w:right="0" w:firstLine="560"/>
        <w:rPr>
          <w:rFonts w:hint="eastAsia" w:ascii="微软雅黑" w:hAnsi="微软雅黑" w:eastAsia="微软雅黑" w:cs="微软雅黑"/>
          <w:i w:val="0"/>
          <w:caps w:val="0"/>
          <w:color w:val="666666"/>
          <w:spacing w:val="0"/>
          <w:sz w:val="27"/>
          <w:szCs w:val="27"/>
          <w:u w:val="none"/>
        </w:rPr>
      </w:pPr>
      <w:r>
        <w:rPr>
          <w:rFonts w:hint="eastAsia" w:ascii="宋体" w:hAnsi="宋体" w:eastAsia="宋体" w:cs="宋体"/>
          <w:i w:val="0"/>
          <w:caps w:val="0"/>
          <w:color w:val="222222"/>
          <w:spacing w:val="0"/>
          <w:sz w:val="28"/>
          <w:szCs w:val="28"/>
          <w:u w:val="none"/>
          <w:bdr w:val="none" w:color="auto" w:sz="0" w:space="0"/>
          <w:shd w:val="clear" w:fill="FFFFFF"/>
        </w:rPr>
        <w:t>购置日期按照机动车销售统一发票或海关关税专用缴款书等有效凭证的开具日期确定。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50" w:lineRule="atLeast"/>
        <w:ind w:left="0" w:right="0" w:firstLine="560"/>
        <w:rPr>
          <w:rFonts w:hint="eastAsia" w:ascii="微软雅黑" w:hAnsi="微软雅黑" w:eastAsia="微软雅黑" w:cs="微软雅黑"/>
          <w:i w:val="0"/>
          <w:caps w:val="0"/>
          <w:color w:val="666666"/>
          <w:spacing w:val="0"/>
          <w:sz w:val="27"/>
          <w:szCs w:val="27"/>
          <w:u w:val="none"/>
        </w:rPr>
      </w:pPr>
      <w:r>
        <w:rPr>
          <w:rFonts w:hint="eastAsia" w:ascii="宋体" w:hAnsi="宋体" w:eastAsia="宋体" w:cs="宋体"/>
          <w:i w:val="0"/>
          <w:caps w:val="0"/>
          <w:color w:val="222222"/>
          <w:spacing w:val="0"/>
          <w:sz w:val="28"/>
          <w:szCs w:val="28"/>
          <w:u w:val="none"/>
          <w:bdr w:val="none" w:color="auto" w:sz="0" w:space="0"/>
          <w:shd w:val="clear" w:fill="FFFFFF"/>
        </w:rPr>
        <w:t>享受车辆购置税减免政策的新能源汽车，是指符合新能源汽车产品技术要求的纯电动汽车、插电式混合动力（含增程式）汽车、燃料电池汽车。新能源汽车产品技术要求由工业和信息化部会同财政部、税务总局根据新能源汽车技术进步、标准体系发展和车型变化情况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50" w:lineRule="atLeast"/>
        <w:ind w:left="0" w:right="0" w:firstLine="560"/>
        <w:rPr>
          <w:rFonts w:hint="eastAsia" w:ascii="微软雅黑" w:hAnsi="微软雅黑" w:eastAsia="微软雅黑" w:cs="微软雅黑"/>
          <w:i w:val="0"/>
          <w:caps w:val="0"/>
          <w:color w:val="666666"/>
          <w:spacing w:val="0"/>
          <w:sz w:val="27"/>
          <w:szCs w:val="27"/>
          <w:u w:val="none"/>
        </w:rPr>
      </w:pPr>
      <w:r>
        <w:rPr>
          <w:rFonts w:hint="eastAsia" w:ascii="宋体" w:hAnsi="宋体" w:eastAsia="宋体" w:cs="宋体"/>
          <w:i w:val="0"/>
          <w:caps w:val="0"/>
          <w:color w:val="222222"/>
          <w:spacing w:val="0"/>
          <w:sz w:val="28"/>
          <w:szCs w:val="28"/>
          <w:u w:val="none"/>
          <w:bdr w:val="none" w:color="auto" w:sz="0" w:space="0"/>
          <w:shd w:val="clear" w:fill="FFFFFF"/>
        </w:rPr>
        <w:t>新能源乘用车，是指在设计、制造和技术特性上主要用于载运乘客及其随身行李和（或）临时物品，包括驾驶员座位在内最多不超过</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9</w:t>
      </w:r>
      <w:r>
        <w:rPr>
          <w:rFonts w:hint="eastAsia" w:ascii="宋体" w:hAnsi="宋体" w:eastAsia="宋体" w:cs="宋体"/>
          <w:i w:val="0"/>
          <w:caps w:val="0"/>
          <w:color w:val="222222"/>
          <w:spacing w:val="0"/>
          <w:sz w:val="28"/>
          <w:szCs w:val="28"/>
          <w:u w:val="none"/>
          <w:bdr w:val="none" w:color="auto" w:sz="0" w:space="0"/>
          <w:shd w:val="clear" w:fill="FFFFFF"/>
        </w:rPr>
        <w:t>个座位的新能源汽车。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50" w:lineRule="atLeast"/>
        <w:ind w:left="0" w:right="0" w:firstLine="560"/>
        <w:rPr>
          <w:rFonts w:hint="eastAsia" w:ascii="微软雅黑" w:hAnsi="微软雅黑" w:eastAsia="微软雅黑" w:cs="微软雅黑"/>
          <w:i w:val="0"/>
          <w:caps w:val="0"/>
          <w:color w:val="666666"/>
          <w:spacing w:val="0"/>
          <w:sz w:val="27"/>
          <w:szCs w:val="27"/>
          <w:u w:val="none"/>
        </w:rPr>
      </w:pPr>
      <w:r>
        <w:rPr>
          <w:rFonts w:hint="eastAsia" w:ascii="宋体" w:hAnsi="宋体" w:eastAsia="宋体" w:cs="宋体"/>
          <w:i w:val="0"/>
          <w:caps w:val="0"/>
          <w:color w:val="222222"/>
          <w:spacing w:val="0"/>
          <w:sz w:val="28"/>
          <w:szCs w:val="28"/>
          <w:u w:val="none"/>
          <w:bdr w:val="none" w:color="auto" w:sz="0" w:space="0"/>
          <w:shd w:val="clear" w:fill="FFFFFF"/>
        </w:rPr>
        <w:t>二、销售方销售</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w:t>
      </w:r>
      <w:r>
        <w:rPr>
          <w:rFonts w:hint="eastAsia" w:ascii="宋体" w:hAnsi="宋体" w:eastAsia="宋体" w:cs="宋体"/>
          <w:i w:val="0"/>
          <w:caps w:val="0"/>
          <w:color w:val="222222"/>
          <w:spacing w:val="0"/>
          <w:sz w:val="28"/>
          <w:szCs w:val="28"/>
          <w:u w:val="none"/>
          <w:bdr w:val="none" w:color="auto" w:sz="0" w:space="0"/>
          <w:shd w:val="clear" w:fill="FFFFFF"/>
        </w:rPr>
        <w:t>换电模式</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w:t>
      </w:r>
      <w:r>
        <w:rPr>
          <w:rFonts w:hint="eastAsia" w:ascii="宋体" w:hAnsi="宋体" w:eastAsia="宋体" w:cs="宋体"/>
          <w:i w:val="0"/>
          <w:caps w:val="0"/>
          <w:color w:val="222222"/>
          <w:spacing w:val="0"/>
          <w:sz w:val="28"/>
          <w:szCs w:val="28"/>
          <w:u w:val="none"/>
          <w:bdr w:val="none" w:color="auto" w:sz="0" w:space="0"/>
          <w:shd w:val="clear" w:fill="FFFFFF"/>
        </w:rPr>
        <w:t>新能源汽车时，不含动力电池的新能源汽车与动力电池分别核算销售额并分别开具发票的，依据购车人购置不含动力电池的新能源汽车取得的机动车销售统一发票载明的不含税价作为车辆购置税计税价格。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50" w:lineRule="atLeast"/>
        <w:ind w:left="0" w:right="0" w:firstLine="560"/>
        <w:rPr>
          <w:rFonts w:hint="eastAsia" w:ascii="微软雅黑" w:hAnsi="微软雅黑" w:eastAsia="微软雅黑" w:cs="微软雅黑"/>
          <w:i w:val="0"/>
          <w:caps w:val="0"/>
          <w:color w:val="666666"/>
          <w:spacing w:val="0"/>
          <w:sz w:val="27"/>
          <w:szCs w:val="27"/>
          <w:u w:val="none"/>
        </w:rPr>
      </w:pPr>
      <w:r>
        <w:rPr>
          <w:rFonts w:hint="eastAsia" w:ascii="宋体" w:hAnsi="宋体" w:eastAsia="宋体" w:cs="宋体"/>
          <w:i w:val="0"/>
          <w:caps w:val="0"/>
          <w:color w:val="222222"/>
          <w:spacing w:val="0"/>
          <w:sz w:val="28"/>
          <w:szCs w:val="28"/>
          <w:u w:val="none"/>
          <w:bdr w:val="none" w:color="auto" w:sz="0" w:space="0"/>
          <w:shd w:val="clear" w:fill="FFFFFF"/>
          <w:lang w:val="en-US"/>
        </w:rPr>
        <w:t>“</w:t>
      </w:r>
      <w:r>
        <w:rPr>
          <w:rFonts w:hint="eastAsia" w:ascii="宋体" w:hAnsi="宋体" w:eastAsia="宋体" w:cs="宋体"/>
          <w:i w:val="0"/>
          <w:caps w:val="0"/>
          <w:color w:val="222222"/>
          <w:spacing w:val="0"/>
          <w:sz w:val="28"/>
          <w:szCs w:val="28"/>
          <w:u w:val="none"/>
          <w:bdr w:val="none" w:color="auto" w:sz="0" w:space="0"/>
          <w:shd w:val="clear" w:fill="FFFFFF"/>
        </w:rPr>
        <w:t>换电模式</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w:t>
      </w:r>
      <w:r>
        <w:rPr>
          <w:rFonts w:hint="eastAsia" w:ascii="宋体" w:hAnsi="宋体" w:eastAsia="宋体" w:cs="宋体"/>
          <w:i w:val="0"/>
          <w:caps w:val="0"/>
          <w:color w:val="222222"/>
          <w:spacing w:val="0"/>
          <w:sz w:val="28"/>
          <w:szCs w:val="28"/>
          <w:u w:val="none"/>
          <w:bdr w:val="none" w:color="auto" w:sz="0" w:space="0"/>
          <w:shd w:val="clear" w:fill="FFFFFF"/>
        </w:rPr>
        <w:t>新能源汽车应当满足换电相关技术标准和要求，且新能源汽车生产企业能够自行或委托第三方为用户提供换电服务。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50" w:lineRule="atLeast"/>
        <w:ind w:left="0" w:right="0" w:firstLine="560"/>
        <w:rPr>
          <w:rFonts w:hint="eastAsia" w:ascii="微软雅黑" w:hAnsi="微软雅黑" w:eastAsia="微软雅黑" w:cs="微软雅黑"/>
          <w:i w:val="0"/>
          <w:caps w:val="0"/>
          <w:color w:val="666666"/>
          <w:spacing w:val="0"/>
          <w:sz w:val="27"/>
          <w:szCs w:val="27"/>
          <w:u w:val="none"/>
        </w:rPr>
      </w:pPr>
      <w:r>
        <w:rPr>
          <w:rFonts w:hint="eastAsia" w:ascii="宋体" w:hAnsi="宋体" w:eastAsia="宋体" w:cs="宋体"/>
          <w:i w:val="0"/>
          <w:caps w:val="0"/>
          <w:color w:val="222222"/>
          <w:spacing w:val="0"/>
          <w:sz w:val="28"/>
          <w:szCs w:val="28"/>
          <w:u w:val="none"/>
          <w:bdr w:val="none" w:color="auto" w:sz="0" w:space="0"/>
          <w:shd w:val="clear" w:fill="FFFFFF"/>
        </w:rPr>
        <w:t>三、为加强和规范管理，工业和信息化部、税务总局通过发布《减免车辆购置税的新能源汽车车型目录》（以下简称《目录》）对享受减免车辆购置税的新能源汽车车型实施管理。《目录》发布后，购置列入《目录》的新能源汽车可按规定享受车辆购置税减免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50" w:lineRule="atLeast"/>
        <w:ind w:left="0" w:right="0" w:firstLine="560"/>
        <w:rPr>
          <w:rFonts w:hint="eastAsia" w:ascii="微软雅黑" w:hAnsi="微软雅黑" w:eastAsia="微软雅黑" w:cs="微软雅黑"/>
          <w:i w:val="0"/>
          <w:caps w:val="0"/>
          <w:color w:val="666666"/>
          <w:spacing w:val="0"/>
          <w:sz w:val="27"/>
          <w:szCs w:val="27"/>
          <w:u w:val="none"/>
        </w:rPr>
      </w:pPr>
      <w:r>
        <w:rPr>
          <w:rFonts w:hint="eastAsia" w:ascii="宋体" w:hAnsi="宋体" w:eastAsia="宋体" w:cs="宋体"/>
          <w:i w:val="0"/>
          <w:caps w:val="0"/>
          <w:color w:val="222222"/>
          <w:spacing w:val="0"/>
          <w:sz w:val="28"/>
          <w:szCs w:val="28"/>
          <w:u w:val="none"/>
          <w:bdr w:val="none" w:color="auto" w:sz="0" w:space="0"/>
          <w:shd w:val="clear" w:fill="FFFFFF"/>
        </w:rPr>
        <w:t>对已列入《目录》的新能源汽车，新能源汽车生产企业或进口新能源汽车经销商（以下简称汽车企业）在上传《机动车整车出厂合格证》或进口机动车《车辆电子信息单》（以下简称车辆电子信息）时，在</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w:t>
      </w:r>
      <w:r>
        <w:rPr>
          <w:rFonts w:hint="eastAsia" w:ascii="宋体" w:hAnsi="宋体" w:eastAsia="宋体" w:cs="宋体"/>
          <w:i w:val="0"/>
          <w:caps w:val="0"/>
          <w:color w:val="222222"/>
          <w:spacing w:val="0"/>
          <w:sz w:val="28"/>
          <w:szCs w:val="28"/>
          <w:u w:val="none"/>
          <w:bdr w:val="none" w:color="auto" w:sz="0" w:space="0"/>
          <w:shd w:val="clear" w:fill="FFFFFF"/>
        </w:rPr>
        <w:t>是否符合减免车辆购置税条件</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w:t>
      </w:r>
      <w:r>
        <w:rPr>
          <w:rFonts w:hint="eastAsia" w:ascii="宋体" w:hAnsi="宋体" w:eastAsia="宋体" w:cs="宋体"/>
          <w:i w:val="0"/>
          <w:caps w:val="0"/>
          <w:color w:val="222222"/>
          <w:spacing w:val="0"/>
          <w:sz w:val="28"/>
          <w:szCs w:val="28"/>
          <w:u w:val="none"/>
          <w:bdr w:val="none" w:color="auto" w:sz="0" w:space="0"/>
          <w:shd w:val="clear" w:fill="FFFFFF"/>
        </w:rPr>
        <w:t>字段标注</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w:t>
      </w:r>
      <w:r>
        <w:rPr>
          <w:rFonts w:hint="eastAsia" w:ascii="宋体" w:hAnsi="宋体" w:eastAsia="宋体" w:cs="宋体"/>
          <w:i w:val="0"/>
          <w:caps w:val="0"/>
          <w:color w:val="222222"/>
          <w:spacing w:val="0"/>
          <w:sz w:val="28"/>
          <w:szCs w:val="28"/>
          <w:u w:val="none"/>
          <w:bdr w:val="none" w:color="auto" w:sz="0" w:space="0"/>
          <w:shd w:val="clear" w:fill="FFFFFF"/>
        </w:rPr>
        <w:t>是</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w:t>
      </w:r>
      <w:r>
        <w:rPr>
          <w:rFonts w:hint="eastAsia" w:ascii="宋体" w:hAnsi="宋体" w:eastAsia="宋体" w:cs="宋体"/>
          <w:i w:val="0"/>
          <w:caps w:val="0"/>
          <w:color w:val="222222"/>
          <w:spacing w:val="0"/>
          <w:sz w:val="28"/>
          <w:szCs w:val="28"/>
          <w:u w:val="none"/>
          <w:bdr w:val="none" w:color="auto" w:sz="0" w:space="0"/>
          <w:shd w:val="clear" w:fill="FFFFFF"/>
        </w:rPr>
        <w:t>（即减免税标识）；对已列入《目录》的</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w:t>
      </w:r>
      <w:r>
        <w:rPr>
          <w:rFonts w:hint="eastAsia" w:ascii="宋体" w:hAnsi="宋体" w:eastAsia="宋体" w:cs="宋体"/>
          <w:i w:val="0"/>
          <w:caps w:val="0"/>
          <w:color w:val="222222"/>
          <w:spacing w:val="0"/>
          <w:sz w:val="28"/>
          <w:szCs w:val="28"/>
          <w:u w:val="none"/>
          <w:bdr w:val="none" w:color="auto" w:sz="0" w:space="0"/>
          <w:shd w:val="clear" w:fill="FFFFFF"/>
        </w:rPr>
        <w:t>换电模式</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w:t>
      </w:r>
      <w:r>
        <w:rPr>
          <w:rFonts w:hint="eastAsia" w:ascii="宋体" w:hAnsi="宋体" w:eastAsia="宋体" w:cs="宋体"/>
          <w:i w:val="0"/>
          <w:caps w:val="0"/>
          <w:color w:val="222222"/>
          <w:spacing w:val="0"/>
          <w:sz w:val="28"/>
          <w:szCs w:val="28"/>
          <w:u w:val="none"/>
          <w:bdr w:val="none" w:color="auto" w:sz="0" w:space="0"/>
          <w:shd w:val="clear" w:fill="FFFFFF"/>
        </w:rPr>
        <w:t>新能源汽车，还应在</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w:t>
      </w:r>
      <w:r>
        <w:rPr>
          <w:rFonts w:hint="eastAsia" w:ascii="宋体" w:hAnsi="宋体" w:eastAsia="宋体" w:cs="宋体"/>
          <w:i w:val="0"/>
          <w:caps w:val="0"/>
          <w:color w:val="222222"/>
          <w:spacing w:val="0"/>
          <w:sz w:val="28"/>
          <w:szCs w:val="28"/>
          <w:u w:val="none"/>
          <w:bdr w:val="none" w:color="auto" w:sz="0" w:space="0"/>
          <w:shd w:val="clear" w:fill="FFFFFF"/>
        </w:rPr>
        <w:t>是否为</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w:t>
      </w:r>
      <w:r>
        <w:rPr>
          <w:rFonts w:hint="eastAsia" w:ascii="宋体" w:hAnsi="宋体" w:eastAsia="宋体" w:cs="宋体"/>
          <w:i w:val="0"/>
          <w:caps w:val="0"/>
          <w:color w:val="222222"/>
          <w:spacing w:val="0"/>
          <w:sz w:val="28"/>
          <w:szCs w:val="28"/>
          <w:u w:val="none"/>
          <w:bdr w:val="none" w:color="auto" w:sz="0" w:space="0"/>
          <w:shd w:val="clear" w:fill="FFFFFF"/>
        </w:rPr>
        <w:t>换电模式</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w:t>
      </w:r>
      <w:r>
        <w:rPr>
          <w:rFonts w:hint="eastAsia" w:ascii="宋体" w:hAnsi="宋体" w:eastAsia="宋体" w:cs="宋体"/>
          <w:i w:val="0"/>
          <w:caps w:val="0"/>
          <w:color w:val="222222"/>
          <w:spacing w:val="0"/>
          <w:sz w:val="28"/>
          <w:szCs w:val="28"/>
          <w:u w:val="none"/>
          <w:bdr w:val="none" w:color="auto" w:sz="0" w:space="0"/>
          <w:shd w:val="clear" w:fill="FFFFFF"/>
        </w:rPr>
        <w:t>新能源汽车</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w:t>
      </w:r>
      <w:r>
        <w:rPr>
          <w:rFonts w:hint="eastAsia" w:ascii="宋体" w:hAnsi="宋体" w:eastAsia="宋体" w:cs="宋体"/>
          <w:i w:val="0"/>
          <w:caps w:val="0"/>
          <w:color w:val="222222"/>
          <w:spacing w:val="0"/>
          <w:sz w:val="28"/>
          <w:szCs w:val="28"/>
          <w:u w:val="none"/>
          <w:bdr w:val="none" w:color="auto" w:sz="0" w:space="0"/>
          <w:shd w:val="clear" w:fill="FFFFFF"/>
        </w:rPr>
        <w:t>字段标注</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w:t>
      </w:r>
      <w:r>
        <w:rPr>
          <w:rFonts w:hint="eastAsia" w:ascii="宋体" w:hAnsi="宋体" w:eastAsia="宋体" w:cs="宋体"/>
          <w:i w:val="0"/>
          <w:caps w:val="0"/>
          <w:color w:val="222222"/>
          <w:spacing w:val="0"/>
          <w:sz w:val="28"/>
          <w:szCs w:val="28"/>
          <w:u w:val="none"/>
          <w:bdr w:val="none" w:color="auto" w:sz="0" w:space="0"/>
          <w:shd w:val="clear" w:fill="FFFFFF"/>
        </w:rPr>
        <w:t>是</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w:t>
      </w:r>
      <w:r>
        <w:rPr>
          <w:rFonts w:hint="eastAsia" w:ascii="宋体" w:hAnsi="宋体" w:eastAsia="宋体" w:cs="宋体"/>
          <w:i w:val="0"/>
          <w:caps w:val="0"/>
          <w:color w:val="222222"/>
          <w:spacing w:val="0"/>
          <w:sz w:val="28"/>
          <w:szCs w:val="28"/>
          <w:u w:val="none"/>
          <w:bdr w:val="none" w:color="auto" w:sz="0" w:space="0"/>
          <w:shd w:val="clear" w:fill="FFFFFF"/>
        </w:rPr>
        <w:t>（即换电模式标识）。工业和信息化部对汽车企业上传的车辆电子信息中的减免税标识和换电模式标识进行校验，并将通过校验的信息传送至税务总局。税务机关依据工业和信息化部校验后的减免税标识、换电模式标识和机动车销售统一发票（或有效凭证），办理车辆购置税减免税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50" w:lineRule="atLeast"/>
        <w:ind w:left="0" w:right="0" w:firstLine="560"/>
        <w:rPr>
          <w:rFonts w:hint="eastAsia" w:ascii="微软雅黑" w:hAnsi="微软雅黑" w:eastAsia="微软雅黑" w:cs="微软雅黑"/>
          <w:i w:val="0"/>
          <w:caps w:val="0"/>
          <w:color w:val="666666"/>
          <w:spacing w:val="0"/>
          <w:sz w:val="27"/>
          <w:szCs w:val="27"/>
          <w:u w:val="none"/>
        </w:rPr>
      </w:pPr>
      <w:r>
        <w:rPr>
          <w:rFonts w:hint="eastAsia" w:ascii="宋体" w:hAnsi="宋体" w:eastAsia="宋体" w:cs="宋体"/>
          <w:i w:val="0"/>
          <w:caps w:val="0"/>
          <w:color w:val="222222"/>
          <w:spacing w:val="0"/>
          <w:sz w:val="28"/>
          <w:szCs w:val="28"/>
          <w:u w:val="none"/>
          <w:bdr w:val="none" w:color="auto" w:sz="0" w:space="0"/>
          <w:shd w:val="clear" w:fill="FFFFFF"/>
        </w:rPr>
        <w:t>四、汽车企业应当保证车辆电子信息与车辆产品相一致，销售方应当如实开具发票，对因提供虚假信息或资料造成车辆购置税税款流失的，依照《中华人民共和国税收征收管理法》及其实施细则予以处理。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B1FBA"/>
    <w:rsid w:val="215B1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2023-10-27T08:09:00Z</dcterms:created>
  <dc:creator>Administrator</dc:creator>
  <cp:lastModifiedBy>Administrator</cp:lastModifiedBy>
  <dcterms:modified xsi:type="dcterms:W3CDTF">2023-10-27T08:11:32Z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