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48"/>
          <w:szCs w:val="48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48"/>
          <w:szCs w:val="48"/>
          <w:u w:val="none"/>
          <w:bdr w:val="none" w:color="auto" w:sz="0" w:space="0"/>
          <w:shd w:val="clear" w:fill="FFFFFF"/>
        </w:rPr>
        <w:t>关于延续执行农户、小微企业和个体工商户融资担保增值税政策的公告</w:t>
      </w:r>
    </w:p>
    <w:p>
      <w:pPr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3F3F3"/>
        </w:rPr>
      </w:pPr>
      <w:r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3F3F3"/>
        </w:rPr>
        <w:t>财政部 税务总局公告2023年第18号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560"/>
        <w:jc w:val="left"/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为进一步支持农户、小微企业和个体工商户融资，现将有关税 收政策公告如下： 一、纳税人为农户、小型企业、微型企业及个体工商户借款、 发行债券提供融资担保取得的担保费收入，以及为上述融资担保 （以下称原担保）提供再担保取得的再担保费收入，免征增值税。 再担保合同对应多个原担保合同的，原担保合同应全部适用免征 增值税政策。否则，再担保合同应按规定缴纳增值税。 二、本公告所称农户，是指长期（一年以上）居住在乡镇（不 包括城关镇）行政管理区域内的住户，还包括长期居住在城关镇 所辖行政村范围内的住户和户口不在本地而在本地居住一年以上 的住户，国有农场的职工。位于乡镇（不包括城关镇）行政管理 区域内和在城关镇所辖行政村范围内的国有经济的机关、团体、 学校、企事业单位的集体户；有本地户口，但举家外出谋生一年 以上的住户，无论是否保留承包耕地均不属于农户。农户以户为 统计单位，既可以从事农业生产经营，也可以从事非农业生产经 营。农户担保、再担保的判定应以原担保生效时的被担保人是否 属于农户为准。 本公告所称小型企业、微型企业，是指符合《中小企业划型 标准规定》（工信部联企业〔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2011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〕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300 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号）的小型企业和微型企 业。其中，资产总额和从业人员指标均以原担保生效时的实际状 态确定；营业收入指标以原担保生效前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 12 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个自然月的累计数确定， 不满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 12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个自然月的，按照以下公式计算： 营业收入（年）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=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企业实际存续期间营业收入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/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企业实际存续月 数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×12 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纳税人应将相关免税证明材料留存备查，单独核算符合免税 条件的融资担保费和再担保费收入，按现行规定向主管税务机关 办理纳税申报；未单独核算的，不得免征增值税。 三、本公告执行至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2027 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 12 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 31 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56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特此公告。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56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56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56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560"/>
        <w:jc w:val="righ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                               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财政部 税务总局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560"/>
        <w:jc w:val="righ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2023年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8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日</w:t>
      </w:r>
    </w:p>
    <w:p>
      <w:pPr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3F3F3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51D84"/>
    <w:rsid w:val="5A45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2023-10-27T08:08:00Z</dcterms:created>
  <dc:creator>Administrator</dc:creator>
  <cp:lastModifiedBy>Administrator</cp:lastModifiedBy>
  <dcterms:modified xsi:type="dcterms:W3CDTF">2023-10-27T08:09:38Z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