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8"/>
          <w:szCs w:val="48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8"/>
          <w:szCs w:val="48"/>
          <w:u w:val="none"/>
          <w:bdr w:val="none" w:color="auto" w:sz="0" w:space="0"/>
          <w:shd w:val="clear" w:fill="FFFFFF"/>
        </w:rPr>
        <w:t>关于设备、器具扣除有关企业所得税政策的公告</w:t>
      </w:r>
    </w:p>
    <w:p>
      <w:pP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</w:pP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  <w:t>财政部 税务总局公告2023年第37号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left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为引导企业加大设备、器具投资力度，现就有关企业所得税 政策公告如下： 一、企业在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2024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1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1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日至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2027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12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31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日期间新购 进的设备、器具，单位价值不超过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500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万元的，允许一次性计入 当期成本费用在计算应纳税所得额时扣除，不再分年度计算折旧； 单位价值超过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500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万元的，仍按企业所得税法实施条例、《财政 部 国家税务总局关于完善固定资产加速折旧企业所得税政策的 通知》（财税〔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2014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〕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75 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号）、《财政部 国家税务总局关于进一 步完善固定资产加速折旧企业所得税政策的通知》（财税〔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2015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〕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106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号）等相关规定执行。 二、本公告所称设备、器具，是指除房屋、建筑物以外的固定资产。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90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财政部 税务总局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2023年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18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日</w:t>
      </w:r>
    </w:p>
    <w:p>
      <w:pP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C3210"/>
    <w:rsid w:val="50EC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2023-10-27T08:07:00Z</dcterms:created>
  <dc:creator>Administrator</dc:creator>
  <cp:lastModifiedBy>Administrator</cp:lastModifiedBy>
  <dcterms:modified xsi:type="dcterms:W3CDTF">2023-10-27T08:08:48Z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