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财政部 税务总局关于先进制造业企业增值税加计抵减政策的公告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  <w:t>财政部 税务总局公告 2023年第43号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现将先进制造业企业增值税加计抵减政策公告如下： 一、自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2023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2027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12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31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日，允许先进制 造业企业按照当期可抵扣进项税额加计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5%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抵减应纳增值税税额 （以下称加计抵减政策）。 本公告所称先进制造业企业是指高新技术企业（含所属的非 法人分支机构）中的制造业一般纳税人，高新技术企业是指按照 《科技部 财政部 国家税务总局关于修订印发〈高新技术企业 认定管理办法〉的通知》（国科发火〔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2016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32 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号）规定认定的高 新技术企业。先进制造业企业具体名单，由各省、自治区、直辖 市、计划单列市工业和信息化部门会同同级科技、财政、税务部 门确定。 二、先进制造业企业按照当期可抵扣进项税额的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5%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计提当期 加计抵减额。按照现行规定不得从销项税额中抵扣的进项税额， 不得计提加计抵减额；已计提加计抵减额的进项税额，按规定作 进项税额转出的，应在进项税额转出当期，相应调减加计抵减额。 三、先进制造业企业按照现行规定计算一般计税方法下的应 纳税额（以下称抵减前的应纳税额）后，区分以下情形加计抵减：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1.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抵减前的应纳税额等于零的，当期可抵减加计抵减额全部结 转下期抵减；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2.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抵减前的应纳税额大于零，且大于当期可抵减加计抵减额 的，当期可抵减加计抵减额全额从抵减前的应纳税额中抵减；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3.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抵减前的应纳税额大于零，且小于或等于当期可抵减加计抵 减额的，以当期可抵减加计抵减额抵减应纳税额至零；未抵减完 的当期可抵减加计抵减额，结转下期继续抵减。 四、先进制造业企业可计提但未计提的加计抵减额，可在确 定适用加计抵减政策当期一并计提。 五、先进制造业企业出口货物劳务、发生跨境应税行为不适 用加计抵减政策，其对应的进项税额不得计提加计抵减额。 先进制造业企业兼营出口货物劳务、发生跨境应税行为且无 法划分不得计提加计抵减额的进项税额，按照以下公式计算： 不得计提加计抵减额的进项税额＝当期无法划分的全部进项 税额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×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当期出口货物劳务和发生跨境应税行为的销售额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÷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当期全 部销售额 六、先进制造业企业应单独核算加计抵减额的计提、抵减、 调减、结余等变动情况。骗取适用加计抵减政策或虚增加计抵减 额的，按照《中华人民共和国税收征收管理法》等有关规定处理。 七、先进制造业企业同时符合多项增值税加计抵减政策的， 可以择优选择适用，但在同一期间不得叠加适用。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特此公告。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90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财政部 税务总局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2023年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F345B"/>
    <w:rsid w:val="5E6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2023-10-27T08:03:00Z</dcterms:created>
  <dc:creator>Administrator</dc:creator>
  <cp:lastModifiedBy>Administrator</cp:lastModifiedBy>
  <dcterms:modified xsi:type="dcterms:W3CDTF">2023-10-27T08:04:40Z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