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48"/>
          <w:szCs w:val="48"/>
          <w:u w:val="none"/>
        </w:rPr>
      </w:pPr>
      <w:r>
        <w:rPr>
          <w:rFonts w:hint="eastAsia" w:ascii="微软雅黑" w:hAnsi="微软雅黑" w:eastAsia="微软雅黑" w:cs="微软雅黑"/>
          <w:i w:val="0"/>
          <w:caps w:val="0"/>
          <w:color w:val="333333"/>
          <w:spacing w:val="0"/>
          <w:sz w:val="48"/>
          <w:szCs w:val="48"/>
          <w:u w:val="none"/>
          <w:bdr w:val="none" w:color="auto" w:sz="0" w:space="0"/>
          <w:shd w:val="clear" w:fill="FFFFFF"/>
        </w:rPr>
        <w:t>关于保障性住房有关税费政策的公告</w:t>
      </w:r>
    </w:p>
    <w:p>
      <w:pPr>
        <w:jc w:val="center"/>
        <w:rPr>
          <w:rFonts w:ascii="微软雅黑" w:hAnsi="微软雅黑" w:eastAsia="微软雅黑" w:cs="微软雅黑"/>
          <w:i w:val="0"/>
          <w:caps w:val="0"/>
          <w:color w:val="666666"/>
          <w:spacing w:val="0"/>
          <w:sz w:val="21"/>
          <w:szCs w:val="21"/>
          <w:shd w:val="clear" w:fill="F3F3F3"/>
        </w:rPr>
      </w:pPr>
      <w:r>
        <w:rPr>
          <w:rFonts w:ascii="微软雅黑" w:hAnsi="微软雅黑" w:eastAsia="微软雅黑" w:cs="微软雅黑"/>
          <w:i w:val="0"/>
          <w:caps w:val="0"/>
          <w:color w:val="666666"/>
          <w:spacing w:val="0"/>
          <w:sz w:val="21"/>
          <w:szCs w:val="21"/>
          <w:shd w:val="clear" w:fill="F3F3F3"/>
        </w:rPr>
        <w:t>财政部 税务总局 住房城乡建设部 2023年第70号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left"/>
        <w:rPr>
          <w:rFonts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为推进保障性住房建设，现将有关税费政策公告如下：</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　　一、对保障性住房项目建设用地免征城镇土地使用税。对保障性住房经营管理单位与保障性住房相关的印花税，以及保障性住房购买人涉及的印花税予以免征。</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　　在商品住房等开发项目中配套建造保障性住房的，依据政府部门出具的相关材料，可按保障性住房建筑面积占总建筑面积的比例免征城镇土地使用税、印花税。</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　　二、企事业单位、社会团体以及其他组织转让旧房作为保障性住房房源且增值额未超过扣除项目金额</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20%</w:t>
      </w: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的，免征土地增值税。</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　　三、对保障性住房经营管理单位回购保障性住房继续作为保障性住房房源的，免征契税。</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　　四、对个人购买保障性住房，减按</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1%</w:t>
      </w: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的税率征收契税。</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　　五、保障性住房项目免收各项行政事业性收费和政府性基金，包括防空地下室易地建设费、城市基础设施配套费、教育费附加和地方教育附加等。</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　　六、享受税费优惠政策的保障性住房项目，按照城市人民政府认定的范围确定。城市人民政府住房城乡建设部门将本地区保障性住房项目、保障性住房经营管理单位等信息及时提供给同级财政、税务部门。</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　　七、纳税人享受本公告规定的税费优惠政策，应按相关规定申报办理。</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　　八、本公告自</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2023</w:t>
      </w: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年</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10</w:t>
      </w: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月</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1</w:t>
      </w: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日起执行。 　　</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lef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　　　　　　特此公告。 　　 　　</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right"/>
        <w:rPr>
          <w:rFonts w:hint="eastAsia" w:ascii="微软雅黑" w:hAnsi="微软雅黑" w:eastAsia="微软雅黑" w:cs="微软雅黑"/>
          <w:i w:val="0"/>
          <w:caps w:val="0"/>
          <w:color w:val="666666"/>
          <w:spacing w:val="0"/>
          <w:sz w:val="27"/>
          <w:szCs w:val="27"/>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right"/>
        <w:rPr>
          <w:rFonts w:hint="eastAsia" w:ascii="微软雅黑" w:hAnsi="微软雅黑" w:eastAsia="微软雅黑" w:cs="微软雅黑"/>
          <w:i w:val="0"/>
          <w:caps w:val="0"/>
          <w:color w:val="666666"/>
          <w:spacing w:val="0"/>
          <w:sz w:val="27"/>
          <w:szCs w:val="27"/>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jc w:val="right"/>
        <w:rPr>
          <w:rFonts w:hint="eastAsia" w:ascii="微软雅黑" w:hAnsi="微软雅黑" w:eastAsia="微软雅黑" w:cs="微软雅黑"/>
          <w:i w:val="0"/>
          <w:caps w:val="0"/>
          <w:color w:val="666666"/>
          <w:spacing w:val="0"/>
          <w:sz w:val="27"/>
          <w:szCs w:val="27"/>
          <w:u w:val="none"/>
        </w:rPr>
      </w:pP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　　财政部</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税务总局</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住房城乡建设部</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right"/>
        <w:rPr>
          <w:rFonts w:hint="eastAsia" w:ascii="微软雅黑" w:hAnsi="微软雅黑" w:eastAsia="微软雅黑" w:cs="微软雅黑"/>
          <w:i w:val="0"/>
          <w:caps w:val="0"/>
          <w:color w:val="666666"/>
          <w:spacing w:val="0"/>
          <w:sz w:val="27"/>
          <w:szCs w:val="27"/>
          <w:u w:val="none"/>
        </w:rPr>
      </w:pP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2023</w:t>
      </w: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年</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9</w:t>
      </w: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月</w:t>
      </w:r>
      <w:r>
        <w:rPr>
          <w:rFonts w:hint="eastAsia" w:ascii="微软雅黑" w:hAnsi="微软雅黑" w:eastAsia="微软雅黑" w:cs="微软雅黑"/>
          <w:i w:val="0"/>
          <w:caps w:val="0"/>
          <w:color w:val="666666"/>
          <w:spacing w:val="0"/>
          <w:kern w:val="0"/>
          <w:sz w:val="24"/>
          <w:szCs w:val="24"/>
          <w:u w:val="none"/>
          <w:bdr w:val="none" w:color="auto" w:sz="0" w:space="0"/>
          <w:shd w:val="clear" w:fill="FFFFFF"/>
          <w:lang w:val="en-US" w:eastAsia="zh-CN" w:bidi="ar"/>
        </w:rPr>
        <w:t>28</w:t>
      </w:r>
      <w:r>
        <w:rPr>
          <w:rFonts w:hint="eastAsia" w:ascii="宋体" w:hAnsi="宋体" w:eastAsia="宋体" w:cs="宋体"/>
          <w:i w:val="0"/>
          <w:caps w:val="0"/>
          <w:color w:val="333333"/>
          <w:spacing w:val="0"/>
          <w:kern w:val="0"/>
          <w:sz w:val="28"/>
          <w:szCs w:val="28"/>
          <w:u w:val="none"/>
          <w:bdr w:val="none" w:color="auto" w:sz="0" w:space="0"/>
          <w:shd w:val="clear" w:fill="FFFFFF"/>
          <w:lang w:val="en-US" w:eastAsia="zh-CN" w:bidi="ar"/>
        </w:rPr>
        <w:t>日   </w:t>
      </w:r>
    </w:p>
    <w:p>
      <w:pPr>
        <w:jc w:val="center"/>
        <w:rPr>
          <w:rFonts w:ascii="微软雅黑" w:hAnsi="微软雅黑" w:eastAsia="微软雅黑" w:cs="微软雅黑"/>
          <w:i w:val="0"/>
          <w:caps w:val="0"/>
          <w:color w:val="666666"/>
          <w:spacing w:val="0"/>
          <w:sz w:val="21"/>
          <w:szCs w:val="21"/>
          <w:shd w:val="clear" w:fill="F3F3F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23AB1"/>
    <w:rsid w:val="4932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2023-10-27T07:44:00Z</dcterms:created>
  <dc:creator>Administrator</dc:creator>
  <cp:lastModifiedBy>Administrator</cp:lastModifiedBy>
  <dcterms:modified xsi:type="dcterms:W3CDTF">2023-10-27T07:45:27Z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