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  <w:u w:val="none"/>
          <w:bdr w:val="none" w:color="auto" w:sz="0" w:space="0"/>
          <w:shd w:val="clear" w:fill="FFFFFF"/>
        </w:rPr>
        <w:t>关于延续实施支持文化企业发展增值税政策的公告</w:t>
      </w:r>
    </w:p>
    <w:p>
      <w:pPr>
        <w:jc w:val="center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</w:pP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  <w:t>财政部 税务总局公告 2023年第61号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为支持文化企业发展，现就延续实施有关增值税政策公告如 下： 一、对电影主管部门（包括中央、省、地市及县级）按照职 能权限批准从事电影制片、发行、放映的电影集团公司（含成员 企业）、电影制片厂及其他电影企业取得的销售电影拷贝（含数字 拷贝）收入、转让电影版权（包括转让和许可使用）收入、电影 发行收入以及在农村取得的电影放映收入，免征增值税。一般纳 税人提供的城市电影放映服务，可以按现行政策规定，选择按照 简易计税办法计算缴纳增值税。 二、对广播电视运营服务企业收取的有线数字电视基本收视 维护费和农村有线电视基本收视费，免征增值税。 三、本公告执行至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2027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12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31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特此公告。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90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90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90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财政部 税务总局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2023年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22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日</w:t>
      </w:r>
    </w:p>
    <w:p>
      <w:pPr>
        <w:jc w:val="center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9402E"/>
    <w:rsid w:val="48C9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2023-10-27T07:50:00Z</dcterms:created>
  <dc:creator>Administrator</dc:creator>
  <cp:lastModifiedBy>Administrator</cp:lastModifiedBy>
  <dcterms:modified xsi:type="dcterms:W3CDTF">2023-10-27T07:51:03Z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