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48"/>
          <w:szCs w:val="48"/>
          <w:u w:val="none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48"/>
          <w:szCs w:val="48"/>
          <w:u w:val="none"/>
          <w:shd w:val="clear" w:fill="FFFFFF"/>
        </w:rPr>
        <w:t>关于生产和装配伤残人员专门用品企业免征企业所得税的公告</w:t>
      </w:r>
    </w:p>
    <w:p>
      <w:pPr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21"/>
          <w:szCs w:val="21"/>
          <w:shd w:val="clear" w:fill="F3F3F3"/>
        </w:rPr>
      </w:pPr>
      <w:r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21"/>
          <w:szCs w:val="21"/>
          <w:shd w:val="clear" w:fill="F3F3F3"/>
        </w:rPr>
        <w:t>财政部 税务总局 民政部公告 2023年第57号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20"/>
        <w:jc w:val="left"/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为帮助伤残人员康复或者恢复残疾肢体功能，现对生产和装 配伤残人员专门用品的企业免征企业所得税政策明确如下： 一、对符合下列条件的居民企业，免征企业所得税：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1.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生产和装配伤残人员专门用品，且在民政部发布的《中国伤 残人员专门用品目录》范围之内。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2.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以销售本企业生产或者装配的伤残人员专门用品为主，其所 取得的年度伤残人员专门用品销售收入（不含出口取得的收入） 占企业收入总额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60%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以上。 收入总额，是指《中华人民共和国企业所得税法》第六条规 定的收入总额。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3.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企业账证健全，能够准确、完整地向主管税务机关提供纳税 资料，且本企业生产或者装配的伤残人员专门用品所取得的收入 能够单独、准确核算。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4.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企业拥有假肢制作师、矫形器制作师资格证书的专业技术人 员不得少于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1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人；其企业生产人员如超过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20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人，则其拥有假肢制 作师、矫形器制作师资格证书的专业技术人员不得少于全部生产 人员的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1/6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。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5.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具有与业务相适应的测量取型、模型加工、接受腔成型、打 磨、对线组装、功能训练等生产装配专用设备和工具。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6.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具有独立的接待室、假肢或者矫形器（辅助器具）制作室和 假肢功能训练室，使用面积不少于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115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平方米。 二、符合本公告规定条件的企业，按照《国家税务总局关于 发布修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订后的公告》（国家 税务总局公告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2018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年第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23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号）的规定，采取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“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自行判别、申报 享受、相关资料留存备查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”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的办理方式享受税收优惠政策。 三、本公告执行至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2027 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12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 31 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28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附件：中国伤残人员专门用品目录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060"/>
        <w:jc w:val="righ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财政部 税务总局 民政部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480" w:firstLine="420"/>
        <w:jc w:val="righ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2023年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9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25</w:t>
      </w:r>
      <w:r>
        <w:rPr>
          <w:rFonts w:hint="eastAsia" w:ascii="宋体" w:hAnsi="宋体" w:eastAsia="宋体" w:cs="宋体"/>
          <w:i w:val="0"/>
          <w:caps w:val="0"/>
          <w:color w:val="666666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  <w:t>日</w:t>
      </w:r>
    </w:p>
    <w:p>
      <w:pPr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21"/>
          <w:szCs w:val="21"/>
          <w:shd w:val="clear" w:fill="F3F3F3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FC71CD"/>
    <w:rsid w:val="1DAF768F"/>
    <w:rsid w:val="63FC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2023-10-27T07:52:00Z</dcterms:created>
  <dc:creator>Administrator</dc:creator>
  <cp:lastModifiedBy>zwgkb</cp:lastModifiedBy>
  <dcterms:modified xsi:type="dcterms:W3CDTF">2023-11-02T05:33:20Z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