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0"/>
          <w:szCs w:val="40"/>
          <w:lang w:val="en-US" w:eastAsia="zh-CN"/>
        </w:rPr>
      </w:pPr>
      <w:bookmarkStart w:id="0" w:name="_GoBack"/>
      <w:bookmarkEnd w:id="0"/>
      <w:r>
        <w:rPr>
          <w:rFonts w:hint="eastAsia" w:ascii="方正小标宋简体" w:hAnsi="方正小标宋简体" w:eastAsia="方正小标宋简体" w:cs="方正小标宋简体"/>
          <w:color w:val="auto"/>
          <w:sz w:val="40"/>
          <w:szCs w:val="40"/>
          <w:lang w:val="en-US" w:eastAsia="zh-CN"/>
        </w:rPr>
        <w:t>“证照联办”办事指南</w:t>
      </w:r>
    </w:p>
    <w:p>
      <w:pPr>
        <w:numPr>
          <w:ilvl w:val="0"/>
          <w:numId w:val="0"/>
        </w:numPr>
        <w:jc w:val="left"/>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32"/>
          <w:szCs w:val="32"/>
          <w:lang w:val="en-US" w:eastAsia="zh-CN"/>
        </w:rPr>
        <w:t>一次性告知：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1.办理条件：</w:t>
      </w:r>
      <w:r>
        <w:rPr>
          <w:rFonts w:hint="eastAsia" w:ascii="仿宋" w:hAnsi="仿宋" w:eastAsia="仿宋"/>
          <w:sz w:val="32"/>
          <w:szCs w:val="32"/>
          <w:highlight w:val="none"/>
          <w:lang w:val="en-US" w:eastAsia="zh-CN"/>
        </w:rPr>
        <w:t>可开办“药店”的实体类型包括：公司，分公司，非公司企业，营业单位、非公司企业法人分支机构，合伙企业，合伙企业分支机构，个人独资企业，个人独资企业分支机构，外商投资企业，外商投资企业分支机构，外商投资合伙企业，外商投资合伙企业分支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依据《药品经营许可证管理办法》开办药品零售企业，应符合当地常住人口数量、地域、交通状况和实际需要的要求，符合方便群众购药的原则，并符合以下设置规定：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（一）企业、企业法定代表人和企业负责人、质量负责人无下列情形：10 年内无从事生产、销售假药及生产、销售劣药情节严重；5 年内无提供虚假的证明、文件资料、样品或者采取其他欺骗手段取得《药品生产许可证》、《药品经营许可证》及《医疗机构制剂许可证》或者药品批准证明文件；5 年内无吊销《药品生产许可证》、《药品经营许可证》及《医疗机构制剂许可证》或者撤销药品批准证明文件。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（二）企业法定代表人或企业负责人具有执业药师资格。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（三）</w:t>
      </w:r>
      <w:r>
        <w:rPr>
          <w:rFonts w:hint="default" w:ascii="仿宋" w:hAnsi="仿宋" w:eastAsia="仿宋"/>
          <w:sz w:val="32"/>
          <w:szCs w:val="32"/>
          <w:highlight w:val="none"/>
          <w:lang w:val="en-US" w:eastAsia="zh-CN"/>
        </w:rPr>
        <w:t>企业应当设置质量管理部门或者配备质量管理人员。具有保证所经营药品质量的规章制度。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（四）经营处方药、甲类非处方药的药品零售企业，应配备具有以下资格的药学技术人员：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处方审核人员应具有执业药师资格。零售连锁企业，其门店执业药师可注册至连锁总部，具有远程审方条件的零售连锁企业，其处方审核人按门店数不少于 10%的比例配备，总数不得少于 3 人，其门店所在的每个县级区域应至少配备 1 名执业药师常驻本区域，以提供药事服务。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质量管理人员应具有药学或者医学、生物、化学相关专业学历或者具有药学专业技术职称和 1 年以上（含 1 年）药品经营质量管理工作经验；验收、采购人员应当具有药学或者医学、生物、化学等相关专业学历或者具有药学专业技术职称。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从事中药饮片质量管理、验收、采购人员应当具有中药学中专以上学历或者具有中药学专业初级以上专业技术职称。中药饮片调剂人员应当具有中药学中专以上学历或者具备中药调剂员资格。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营业员应当具有高中以上文化程度。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（五）质量管理岗位、处方审核岗位的职责不得由其他岗位人员代为履行。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六）仅经营乙类非处方药的药品零售企业，应当配备执业药师或具有药学及医学、生物、化学等相关专业学历或具有药学专业技术职称或经设区市以上药品监督管理机构组织考核合格的业务人员。企业营业时间，以上人员应当在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（七）各岗位人员应当接受相关法律法规及药品专业知识与技能的岗前培训和继续培训。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（八）直接接触药品岗位的人员应当进行岗前及年度健康检查，并建立健康档案。患有传染病或者其他可能污染药品的疾病的，不得从事直接接触药品的工作。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（九）企业的营业场所应当与其药品经营范围、经营规模相适应，并与药品储存、办公、生活辅助及其他区域分开。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营业场所面积规定（同层内无明显隔断）: 市内主城区不少于 80 平方米；县城城区不少于 60 平方米；乡镇及农村地区不少于 40 平方米。单独经营中药饮片的不少于 40 平方米。仅经营乙类非处方药不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少于 20 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经营中药饮片应设置相对独立的营业区域。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营业场所应为临街商铺或在超市、商场等商业场所内，在商业场所内设立零售药店的（含只经营乙类非处方药的），应为有效隔离的独立区域。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具备条件的药品零售连锁企业可在车站、机场、码头设置符合药品经营质量管理规范的自动售药机。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自设仓库的，应具有满足药品储存的设施设备和条件，与经营场所有效隔离且在同</w:t>
      </w:r>
      <w:r>
        <w:rPr>
          <w:rFonts w:hint="eastAsia" w:ascii="仿宋" w:hAnsi="仿宋" w:eastAsia="仿宋"/>
          <w:sz w:val="32"/>
          <w:szCs w:val="32"/>
          <w:highlight w:val="none"/>
          <w:lang w:val="en-US" w:eastAsia="zh-CN"/>
        </w:rPr>
        <w:t>一</w:t>
      </w:r>
      <w:r>
        <w:rPr>
          <w:rFonts w:hint="default" w:ascii="仿宋" w:hAnsi="仿宋" w:eastAsia="仿宋"/>
          <w:sz w:val="32"/>
          <w:szCs w:val="32"/>
          <w:highlight w:val="none"/>
          <w:lang w:val="en-US" w:eastAsia="zh-CN"/>
        </w:rPr>
        <w:t>建筑物内；采用委托储存配送的药品零售企业及连锁门店可不设仓库。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国家对经营麻醉药品、精神药品、医疗用毒性药品、预防性生物制品另有规定的，从其规定。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药品零售企业应先核定经营类别，确定经营处方药或非处方药、乙类非处方药的资格，并在经营范围中予以明确，再核定具体经营范围。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药品零售企业经营范围包括：中药饮片、中成药、化学药制剂、抗生素制剂、生化药品、生物制品。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特殊管理的药品和国家有专门管理要求的药品按有关规定执行。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申请人从事医疗器械经营，应当具备以下条件：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（一）具有与经营范围和经营规模相适应的质量管理机构或者质量管理人员，质量管理人员应当具有国家认可的相关专业学历或者职称；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（二）具有与经营范围和经营规模相适应的经营、贮存场所；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（三）具有与经营范围和经营规模相适应的贮存条件，全部委托其他医疗器械经营企业贮存的可以不设立库房；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（四）具有与经营的医疗器械相适应的质量管理制度；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（五）具备与经营的医疗器械相适应的专业指导、技术培训和售后服务的能力，或者约定由相关机构提供技术支持。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根据《医疗器械经营监督管理办法》，经营第一类医疗器械不需许可和备案，经营第二类医疗器械实行备案管理，经营第三类医疗器械实行许可管理。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申请人申请“《第二类医疗器械经营备案凭证》核发”，需要到“医疗器械生产经营许可（备案）信息系统”按照要求申报有关材料。第三类医疗器械一般不属于零售药店的经营范围，因此经营第三类医疗器械所需申请的“《医疗器械经营许可证》核发”不囊括在本主题事项中。</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办理情形：</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1）企业开办（企业设立登记、公章刻制、申领发票、参保用工登记、企业住房公积金缴存登记）</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方正小标宋简体" w:hAnsi="方正小标宋简体" w:eastAsia="方正小标宋简体" w:cs="方正小标宋简体"/>
          <w:color w:val="auto"/>
          <w:sz w:val="28"/>
          <w:szCs w:val="28"/>
          <w:lang w:val="en-US" w:eastAsia="zh-CN"/>
        </w:rPr>
      </w:pPr>
      <w:r>
        <w:rPr>
          <w:rFonts w:hint="eastAsia" w:ascii="仿宋" w:hAnsi="仿宋" w:eastAsia="仿宋" w:cs="仿宋"/>
          <w:color w:val="000000"/>
          <w:kern w:val="0"/>
          <w:sz w:val="31"/>
          <w:szCs w:val="31"/>
          <w:lang w:val="en-US" w:eastAsia="zh-CN" w:bidi="ar"/>
        </w:rPr>
        <w:t>2）企业准营（《药品经营许可证》（零售）核发、食品销售经营许可、第三类医疗器械经营许可第二类医疗器械经营备案等）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3.办理时限：</w:t>
      </w:r>
      <w:r>
        <w:rPr>
          <w:rFonts w:hint="eastAsia" w:ascii="仿宋" w:hAnsi="仿宋" w:eastAsia="仿宋"/>
          <w:sz w:val="32"/>
          <w:szCs w:val="32"/>
          <w:highlight w:val="none"/>
          <w:lang w:val="en-US" w:eastAsia="zh-CN"/>
        </w:rPr>
        <w:t>15个工作日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4.收费标准：</w:t>
      </w:r>
      <w:r>
        <w:rPr>
          <w:rFonts w:hint="eastAsia" w:ascii="仿宋" w:hAnsi="仿宋" w:eastAsia="仿宋"/>
          <w:sz w:val="32"/>
          <w:szCs w:val="32"/>
          <w:highlight w:val="none"/>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5.咨询电话：</w:t>
      </w:r>
      <w:r>
        <w:rPr>
          <w:rFonts w:hint="eastAsia" w:ascii="仿宋" w:hAnsi="仿宋" w:eastAsia="仿宋"/>
          <w:sz w:val="32"/>
          <w:szCs w:val="32"/>
          <w:highlight w:val="none"/>
          <w:lang w:val="en-US" w:eastAsia="zh-CN"/>
        </w:rPr>
        <w:t>3655104</w:t>
      </w: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color w:val="auto"/>
          <w:sz w:val="32"/>
          <w:szCs w:val="32"/>
          <w:lang w:val="en-US" w:eastAsia="zh-CN"/>
        </w:rPr>
        <w:t>一套材料规范</w:t>
      </w:r>
    </w:p>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开办</w:t>
      </w:r>
      <w:r>
        <w:rPr>
          <w:rFonts w:hint="eastAsia" w:ascii="方正小标宋简体" w:hAnsi="方正小标宋简体" w:eastAsia="方正小标宋简体" w:cs="方正小标宋简体"/>
          <w:sz w:val="40"/>
          <w:szCs w:val="40"/>
          <w:lang w:val="en-US" w:eastAsia="zh-CN"/>
        </w:rPr>
        <w:t>药店</w:t>
      </w:r>
    </w:p>
    <w:tbl>
      <w:tblPr>
        <w:tblStyle w:val="2"/>
        <w:tblW w:w="10226" w:type="dxa"/>
        <w:tblInd w:w="93" w:type="dxa"/>
        <w:shd w:val="clear" w:color="auto" w:fill="auto"/>
        <w:tblLayout w:type="fixed"/>
        <w:tblCellMar>
          <w:top w:w="0" w:type="dxa"/>
          <w:left w:w="108" w:type="dxa"/>
          <w:bottom w:w="0" w:type="dxa"/>
          <w:right w:w="108" w:type="dxa"/>
        </w:tblCellMar>
      </w:tblPr>
      <w:tblGrid>
        <w:gridCol w:w="1214"/>
        <w:gridCol w:w="665"/>
        <w:gridCol w:w="450"/>
        <w:gridCol w:w="1477"/>
        <w:gridCol w:w="3285"/>
        <w:gridCol w:w="3135"/>
      </w:tblGrid>
      <w:tr>
        <w:tblPrEx>
          <w:shd w:val="clear" w:color="auto" w:fill="auto"/>
          <w:tblCellMar>
            <w:top w:w="0" w:type="dxa"/>
            <w:left w:w="108" w:type="dxa"/>
            <w:bottom w:w="0" w:type="dxa"/>
            <w:right w:w="108" w:type="dxa"/>
          </w:tblCellMar>
        </w:tblPrEx>
        <w:trPr>
          <w:trHeight w:val="91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办事套餐</w:t>
            </w:r>
          </w:p>
        </w:tc>
        <w:tc>
          <w:tcPr>
            <w:tcW w:w="2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审批服务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事项名称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原申请材料</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“证照联办”需提供材料</w:t>
            </w:r>
          </w:p>
        </w:tc>
      </w:tr>
      <w:tr>
        <w:tblPrEx>
          <w:tblCellMar>
            <w:top w:w="0" w:type="dxa"/>
            <w:left w:w="108" w:type="dxa"/>
            <w:bottom w:w="0" w:type="dxa"/>
            <w:right w:w="108" w:type="dxa"/>
          </w:tblCellMar>
        </w:tblPrEx>
        <w:trPr>
          <w:trHeight w:val="462"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药店</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开办</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企业设立登记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2.公司章程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3.董事（执行董事）、监事、经理、法定代表人任职文件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5.住所材料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6.套餐申请表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7.连锁总部的药品经营许可证（申请连锁总部零售门店时提供）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8.从业人员一览表（职称、学历证明文件）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9.企业法定代表人或企业负责人、处方审核人员执业药师注册证书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10.质量管理人员简历、学历或职称证书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11.验收、采购人员学历或职称证书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12.有关中药质量管理、验收、采购、调剂人员学历或职称证书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13.企业营业场所和库房的地理位置图、平面布局图及房屋产权或使用权证明，实施委托配送的需提供委托配送协议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14.药品经营企业质量管理文件及主要设施、设备目录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15.计算机管理信息系统情况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16.直接接触药品岗位人员的健康证明文件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17.法定代表人（负责人）、食品安全管理人员的身份证明复印件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18.经营场所方位（周边环境）图、与食品经营相适应的经营平面布局图、操作流程图或文件（标注主要设施设备）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19.外设仓库的情况（地址、方位图、面积、设施设备、储存条件）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20.食品安全管理制度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21.直接接触食品的工具、容器和包装材料符合食品安全标准的承诺书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其他材料：a、利用自动售货设备从事食品销售的，申请人还应提交自动售货设备的产品合格证明、具体放置地点、经营者名称、住所、联系方式、食品经营许可证的公示方法等材料；b、申请销售散装熟食的，提交与挂钩生产单位的合作协议及生产单位的食品生产许可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23.医疗器械经营组织机构与部门设置说明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24.医疗器械经营范围、经营方式说明</w:t>
            </w:r>
          </w:p>
        </w:tc>
      </w:tr>
      <w:tr>
        <w:tblPrEx>
          <w:shd w:val="clear" w:color="auto" w:fill="auto"/>
          <w:tblCellMar>
            <w:top w:w="0" w:type="dxa"/>
            <w:left w:w="108" w:type="dxa"/>
            <w:bottom w:w="0" w:type="dxa"/>
            <w:right w:w="108" w:type="dxa"/>
          </w:tblCellMar>
        </w:tblPrEx>
        <w:trPr>
          <w:trHeight w:val="4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2.公司章程</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3.董事（执行董事）、监事、经理、法定代表人任职文件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5.住所材料</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公章刻制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2.法定代表人和委托代理人身份信息（电子影像）</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申领发票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2.法定代表人、财务负责人、委托代理人、办税员、购票员身份信息（电子影像）</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参保用工登记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2..职工参保信息</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3.职工劳动用工备案基础信息采集</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企业住房公积金缴存登记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2.住房公积金单位登记开户登记表</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3.法定代表人或负责人、经办人身份证复印件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《药品经营许可证》（零售）核发</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1.药品经营许可证申请表</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2.连锁总部的药品经营许可证（申请连锁总部零售门店时提供）</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3.营业执照复印件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4.从业人员一览表（职称、学历证明文件）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5.企业法定代表人或企业负责人、处方审核人员执业药师注册证书</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6.质量管理人员简历、学历或职称证书</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7.验收、采购人员学历或职称证书</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8.有关中药质量管理、验收、采购、调剂人员学历或职称证书</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9.企业营业场所和库房的地理位置图、平面布局图及房屋产权或使用权证明，实施委托配送的需提供委托配送协议</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10.药品经营企业质量管理文件及主要设施、设备目录</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11.计算机管理信息系统情况</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12.直接接触药品岗位人员的健康证明文件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13.委托申请的，需提交授权委托书</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药店</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食品销售经营许可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1.食品销售类经营许可申请书</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25.医疗器械经营设施、设备目录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26.医疗器械经营质量管理制度、工作程序等文件目录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27.医疗器械经营计算机信息管理系统基本情况介绍和功能说明；（只办理第二类医疗器械经营备案不需提供）</w:t>
            </w: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3.法定代表人（负责人）、食品安全管理人员的身份证明复印件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4.经营场所方位（周边环境）图、与食品经营相适应的经营平面布局图、操作流程图或文件（标注主要设施设备）</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5.外设仓库的情况（地址、方位图、面积、设施设备、储存条件）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6.食品安全管理制度</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7.直接接触食品的工具、容器和包装材料符合食品安全标准的承诺书</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3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其他材料：a、利用自动售货设备从事食品销售的，申请人还应提交自动售货设备的产品合格证明、具体放置地点、经营者名称、住所、联系方式、食品经营许可证的公示方法等材料；b、申请销售散装熟食的，提交与挂钩生产单位的合作协议及生产单位的食品生产许可证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9.授权委托书及身份证明</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第三类医疗器械经营许可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第二类医疗器械经营备案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2.法定代表人、企业负责人、质量负责人的身份证明、学历或者职称证明复印件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3.组织机构与部门设置说明</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4.经营范围、经营方式说明</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4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5.经营场所、库房地址的地理位置图、平面图、房屋产权证明文件或者租赁协议（附房屋产权证明文件）复印件</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6.经营设施、设备目录</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7.经营质量管理制度、工作程序等文件目录</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8.计算机信息管理系统基本情况介绍和功能说明；（只办理第二类医疗器械经营许可不需提供）</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9.经办人授权证明</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10.医疗器械经营许可申请表；（只办理第二类医疗器械经营备案不需提供）</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11.第二类医疗器械经营备案表。（只办理第三类医疗器械经营备案不需提供）</w:t>
            </w: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bl>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办理流程</w:t>
      </w:r>
    </w:p>
    <w:p>
      <w:pPr>
        <w:rPr>
          <w:sz w:val="20"/>
          <w:szCs w:val="20"/>
        </w:rPr>
      </w:pPr>
      <w:r>
        <w:rPr>
          <w:rFonts w:hint="eastAsia" w:eastAsiaTheme="minorEastAsia"/>
          <w:lang w:eastAsia="zh-CN"/>
        </w:rPr>
        <w:drawing>
          <wp:inline distT="0" distB="0" distL="114300" distR="114300">
            <wp:extent cx="4384675" cy="6235065"/>
            <wp:effectExtent l="0" t="0" r="0" b="0"/>
            <wp:docPr id="1" name="ECB019B1-382A-4266-B25C-5B523AA43C14-1" descr="C:/Users/Administrator/AppData/Local/Temp/wps.CVQZi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CVQZinwps"/>
                    <pic:cNvPicPr>
                      <a:picLocks noChangeAspect="1"/>
                    </pic:cNvPicPr>
                  </pic:nvPicPr>
                  <pic:blipFill>
                    <a:blip r:embed="rId4"/>
                    <a:stretch>
                      <a:fillRect/>
                    </a:stretch>
                  </pic:blipFill>
                  <pic:spPr>
                    <a:xfrm>
                      <a:off x="0" y="0"/>
                      <a:ext cx="4384675" cy="6235065"/>
                    </a:xfrm>
                    <a:prstGeom prst="rect">
                      <a:avLst/>
                    </a:prstGeom>
                  </pic:spPr>
                </pic:pic>
              </a:graphicData>
            </a:graphic>
          </wp:inline>
        </w:drawing>
      </w: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120AB"/>
    <w:multiLevelType w:val="singleLevel"/>
    <w:tmpl w:val="2D6120A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4134B"/>
    <w:rsid w:val="0A9B30DD"/>
    <w:rsid w:val="15517D14"/>
    <w:rsid w:val="22A17498"/>
    <w:rsid w:val="248A11B7"/>
    <w:rsid w:val="298143F7"/>
    <w:rsid w:val="36BB1D70"/>
    <w:rsid w:val="39D40C97"/>
    <w:rsid w:val="4955207D"/>
    <w:rsid w:val="4EE02BD0"/>
    <w:rsid w:val="639344E2"/>
    <w:rsid w:val="69381D8E"/>
    <w:rsid w:val="6E514D52"/>
    <w:rsid w:val="72C008AC"/>
    <w:rsid w:val="74032F98"/>
    <w:rsid w:val="76EA350A"/>
    <w:rsid w:val="784B5110"/>
    <w:rsid w:val="79741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2021-09-23T02:04:00Z</dcterms:created>
  <dc:creator>Administrator</dc:creator>
  <cp:lastModifiedBy>醉过才知酒浓（汽车灯光专业升级）</cp:lastModifiedBy>
  <dcterms:modified xsi:type="dcterms:W3CDTF">2023-11-30T06:00:52Z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B4B01303F87743F3A03AE3FB19D7EBC0</vt:lpwstr>
  </property>
</Properties>
</file>