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333333"/>
          <w:spacing w:val="0"/>
          <w:sz w:val="30"/>
          <w:szCs w:val="30"/>
          <w:shd w:val="clear" w:fill="FFFFFF"/>
        </w:rPr>
        <w:t>关于延续实施支持文化企业发展增值税政策的公告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为支持文化企业发展，现就延续实施有关增值税政策公告如下：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一、对电影主管部门（包括中央、省、地市及县级）按照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一般纳税人提供的城市电影放映服务，可以按现行政策规定，选择按照简易计税办法计算缴纳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二、对广播电视运营服务企业收取的有线数字电视基本收视维护费和农村有线电视基本收视费，免征增值税。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三、本公告执行至2027年12月31日。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　　2023年9月22日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C0F90"/>
    <w:rsid w:val="297C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2023-12-28T14:21:00Z</dcterms:created>
  <dc:creator>Administrator</dc:creator>
  <cp:lastModifiedBy>Administrator</cp:lastModifiedBy>
  <dcterms:modified xsi:type="dcterms:W3CDTF">2023-12-28T14:21:29Z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