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i w:val="0"/>
          <w:color w:val="333333"/>
          <w:sz w:val="48"/>
          <w:szCs w:val="48"/>
          <w:u w:val="none"/>
        </w:rPr>
      </w:pPr>
      <w:r>
        <w:rPr>
          <w:rFonts w:hint="eastAsia" w:ascii="微软雅黑" w:hAnsi="微软雅黑" w:eastAsia="微软雅黑" w:cs="微软雅黑"/>
          <w:i w:val="0"/>
          <w:caps w:val="0"/>
          <w:color w:val="333333"/>
          <w:spacing w:val="0"/>
          <w:sz w:val="48"/>
          <w:szCs w:val="48"/>
          <w:u w:val="none"/>
          <w:bdr w:val="none" w:color="auto" w:sz="0" w:space="0"/>
          <w:shd w:val="clear" w:fill="FFFFFF"/>
        </w:rPr>
        <w:t>关于继续对废矿物油再生油品免征消费税的公告</w:t>
      </w:r>
    </w:p>
    <w:p>
      <w:pPr>
        <w:pStyle w:val="3"/>
        <w:keepNext w:val="0"/>
        <w:keepLines w:val="0"/>
        <w:widowControl/>
        <w:suppressLineNumbers w:val="0"/>
        <w:pBdr>
          <w:top w:val="none" w:color="auto" w:sz="0" w:space="0"/>
          <w:left w:val="none" w:color="auto" w:sz="0" w:space="0"/>
          <w:bottom w:val="single" w:color="CCCCCC" w:sz="12" w:space="7"/>
          <w:right w:val="none" w:color="auto" w:sz="0" w:space="0"/>
        </w:pBdr>
        <w:spacing w:before="75" w:beforeAutospacing="0" w:after="0" w:afterAutospacing="0" w:line="18" w:lineRule="atLeast"/>
        <w:ind w:left="0" w:right="0"/>
        <w:jc w:val="center"/>
        <w:rPr>
          <w:rFonts w:hint="eastAsia" w:ascii="微软雅黑" w:hAnsi="微软雅黑" w:eastAsia="微软雅黑" w:cs="微软雅黑"/>
          <w:i w:val="0"/>
          <w:color w:val="666666"/>
          <w:sz w:val="22"/>
          <w:szCs w:val="22"/>
          <w:u w:val="none"/>
        </w:rPr>
      </w:pPr>
      <w:r>
        <w:rPr>
          <w:rFonts w:hint="eastAsia" w:ascii="微软雅黑" w:hAnsi="微软雅黑" w:eastAsia="微软雅黑" w:cs="微软雅黑"/>
          <w:i w:val="0"/>
          <w:caps w:val="0"/>
          <w:color w:val="666666"/>
          <w:spacing w:val="0"/>
          <w:sz w:val="22"/>
          <w:szCs w:val="22"/>
          <w:u w:val="none"/>
          <w:bdr w:val="none" w:color="auto" w:sz="0" w:space="0"/>
          <w:shd w:val="clear" w:fill="FFFFFF"/>
        </w:rPr>
        <w:t>发布时间：2023-09-28        发布机构：财政局        字体：[ 大 </w:t>
      </w:r>
      <w:r>
        <w:rPr>
          <w:rFonts w:hint="eastAsia" w:ascii="微软雅黑" w:hAnsi="微软雅黑" w:eastAsia="微软雅黑" w:cs="微软雅黑"/>
          <w:i w:val="0"/>
          <w:caps w:val="0"/>
          <w:color w:val="015293"/>
          <w:spacing w:val="0"/>
          <w:sz w:val="22"/>
          <w:szCs w:val="22"/>
          <w:u w:val="none"/>
          <w:bdr w:val="none" w:color="auto" w:sz="0" w:space="0"/>
          <w:shd w:val="clear" w:fill="FFFFFF"/>
        </w:rPr>
        <w:t>中</w:t>
      </w:r>
      <w:r>
        <w:rPr>
          <w:rFonts w:hint="eastAsia" w:ascii="微软雅黑" w:hAnsi="微软雅黑" w:eastAsia="微软雅黑" w:cs="微软雅黑"/>
          <w:i w:val="0"/>
          <w:caps w:val="0"/>
          <w:color w:val="666666"/>
          <w:spacing w:val="0"/>
          <w:sz w:val="22"/>
          <w:szCs w:val="22"/>
          <w:u w:val="none"/>
          <w:bdr w:val="none" w:color="auto" w:sz="0" w:space="0"/>
          <w:shd w:val="clear" w:fill="FFFFFF"/>
        </w:rPr>
        <w:t> 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150" w:afterAutospacing="0" w:line="375" w:lineRule="atLeast"/>
        <w:ind w:left="0" w:right="0"/>
        <w:jc w:val="center"/>
        <w:rPr>
          <w:rFonts w:hint="eastAsia" w:ascii="微软雅黑" w:hAnsi="微软雅黑" w:eastAsia="微软雅黑" w:cs="微软雅黑"/>
          <w:i w:val="0"/>
          <w:color w:val="666666"/>
          <w:sz w:val="21"/>
          <w:szCs w:val="21"/>
          <w:u w:val="none"/>
        </w:rPr>
      </w:pPr>
      <w:r>
        <w:rPr>
          <w:rFonts w:hint="eastAsia" w:ascii="微软雅黑" w:hAnsi="微软雅黑" w:eastAsia="微软雅黑" w:cs="微软雅黑"/>
          <w:i w:val="0"/>
          <w:caps w:val="0"/>
          <w:color w:val="666666"/>
          <w:spacing w:val="0"/>
          <w:sz w:val="21"/>
          <w:szCs w:val="21"/>
          <w:u w:val="none"/>
          <w:bdr w:val="none" w:color="auto" w:sz="0" w:space="0"/>
          <w:shd w:val="clear" w:fill="F3F3F3"/>
        </w:rPr>
        <w:t>体裁分类：减税降费        主题分类：财政、金融、审计        文号：财政部 税务总局公告2023年第69号        索引号：000357333/2023-1348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666666"/>
          <w:spacing w:val="0"/>
          <w:sz w:val="24"/>
          <w:szCs w:val="24"/>
          <w:u w:val="none"/>
          <w:bdr w:val="none" w:color="auto" w:sz="0" w:space="0"/>
          <w:shd w:val="clear" w:fill="FFFFFF"/>
        </w:rPr>
        <w:t>　　</w:t>
      </w:r>
      <w:r>
        <w:rPr>
          <w:rFonts w:hint="eastAsia" w:ascii="微软雅黑" w:hAnsi="微软雅黑" w:eastAsia="微软雅黑" w:cs="微软雅黑"/>
          <w:i w:val="0"/>
          <w:caps w:val="0"/>
          <w:color w:val="333333"/>
          <w:spacing w:val="0"/>
          <w:sz w:val="24"/>
          <w:szCs w:val="24"/>
          <w:u w:val="none"/>
          <w:bdr w:val="none" w:color="auto" w:sz="0" w:space="0"/>
          <w:shd w:val="clear" w:fill="FFFFFF"/>
        </w:rPr>
        <w:t>为继续支持促进资源综合利用和环境保护，现对以回收的废矿物油为原料生产的润滑油基础油、汽油、柴油等工业油料免征消费税政策公告如下：</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一、废矿物油，是指工业生产领域机械设备及汽车、船舶等交通运输设备使用后失去或降低功效更换下来的废润滑油。</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二、纳税人利用废矿物油生产的润滑油基础油、汽油、柴油等工业油料免征消费税，应同时符合下列条件：</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一）纳税人必须取得生态环境部门颁发的《危险废物（综合）经营许可证》，且该证件上核准生产经营范围应包括“利用”或“综合经营”字样。生产经营范围为“综合经营”的纳税人，还应同时提供颁发《危险废物（综合）经营许可证》的生态环境部门出具的能证明其生产经营范围包括“利用”的材料。</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纳税人在申请办理免征消费税备案时，应同时提交污染物排放地生态环境部门确定的该纳税人应予执行的污染物排放标准，以及污染物排放地生态环境部门在此前</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6</w:t>
      </w:r>
      <w:r>
        <w:rPr>
          <w:rFonts w:hint="eastAsia" w:ascii="微软雅黑" w:hAnsi="微软雅黑" w:eastAsia="微软雅黑" w:cs="微软雅黑"/>
          <w:i w:val="0"/>
          <w:caps w:val="0"/>
          <w:color w:val="333333"/>
          <w:spacing w:val="0"/>
          <w:sz w:val="24"/>
          <w:szCs w:val="24"/>
          <w:u w:val="none"/>
          <w:bdr w:val="none" w:color="auto" w:sz="0" w:space="0"/>
          <w:shd w:val="clear" w:fill="FFFFFF"/>
        </w:rPr>
        <w:t>个月以内出具的该纳税人的污染物排放符合上述标准的证明材料。</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纳税人回收的废矿物油应具备能显示其名称、特性、数量、接受日期等项目的《危险废物转移联单》。</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（二）生产原料中废矿物油重量必须占到</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90%</w:t>
      </w:r>
      <w:r>
        <w:rPr>
          <w:rFonts w:hint="eastAsia" w:ascii="微软雅黑" w:hAnsi="微软雅黑" w:eastAsia="微软雅黑" w:cs="微软雅黑"/>
          <w:i w:val="0"/>
          <w:caps w:val="0"/>
          <w:color w:val="333333"/>
          <w:spacing w:val="0"/>
          <w:sz w:val="24"/>
          <w:szCs w:val="24"/>
          <w:u w:val="none"/>
          <w:bdr w:val="none" w:color="auto" w:sz="0" w:space="0"/>
          <w:shd w:val="clear" w:fill="FFFFFF"/>
        </w:rPr>
        <w:t>以上。产成品中必须包括润滑油基础油，且每吨废矿物油生产的润滑油基础油应不少于</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0.65</w:t>
      </w:r>
      <w:r>
        <w:rPr>
          <w:rFonts w:hint="eastAsia" w:ascii="微软雅黑" w:hAnsi="微软雅黑" w:eastAsia="微软雅黑" w:cs="微软雅黑"/>
          <w:i w:val="0"/>
          <w:caps w:val="0"/>
          <w:color w:val="333333"/>
          <w:spacing w:val="0"/>
          <w:sz w:val="24"/>
          <w:szCs w:val="24"/>
          <w:u w:val="none"/>
          <w:bdr w:val="none" w:color="auto" w:sz="0" w:space="0"/>
          <w:shd w:val="clear" w:fill="FFFFFF"/>
        </w:rPr>
        <w:t>吨。</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（三）利用废矿物油生产的产品与利用其他原料生产的产品应分别核算。</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三、符合本公告第二条规定的纳税人销售免税油品时，应在增值税专用发票上注明产品名称，并在产品名称后加注“（废矿物油）”。</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四、符合本公告第二条规定的纳税人利用废矿物油生产的润滑油基础油连续加工生产润滑油，或纳税人（包括符合本公告第二条规定的纳税人及其他纳税人）外购利用废矿物油生产的润滑油基础油加工生产润滑油，在申报润滑油消费税额时按当期销售的润滑油数量扣减其耗用的符合本公告规定的润滑油基础油数量的余额计算缴纳消费税。</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五、对未达到相应的污染物排放标准或被取消《危险废物（综合）经营许可证》的纳税人，自发生违规排放行为之日或《危险废物（综合）经营许可证》被取消之日起，取消其享受本公告规定的免征消费税政策的资格，且三年内不得再次申请。纳税人自发生违规排放行为之日起已申请并办理免税的，应予追缴。</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六、各级税务机关应采取严密措施，对享受本公告规定的免征消费税政策的纳税人加强动态监管。凡经核实纳税人弄虚作假骗取享受本公告规定的免征消费税政策的，税务机关追缴其此前骗取的免税税款，并自纳税人发生上述违法违规行为年度起，取消其享受本公告规定的免征消费税政策的资格，且纳税人三年内不得再次申请。</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发生违规排放行为之日，是指已由污染物排放地生态环境部门查证确认的、纳税人发生未达到应予执行的污染物排放标准行为的当日。</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七、本公告执行至</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2027</w:t>
      </w:r>
      <w:r>
        <w:rPr>
          <w:rFonts w:hint="eastAsia" w:ascii="微软雅黑" w:hAnsi="微软雅黑" w:eastAsia="微软雅黑" w:cs="微软雅黑"/>
          <w:i w:val="0"/>
          <w:caps w:val="0"/>
          <w:color w:val="333333"/>
          <w:spacing w:val="0"/>
          <w:sz w:val="24"/>
          <w:szCs w:val="24"/>
          <w:u w:val="none"/>
          <w:bdr w:val="none" w:color="auto" w:sz="0" w:space="0"/>
          <w:shd w:val="clear" w:fill="FFFFFF"/>
        </w:rPr>
        <w:t>年</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12</w:t>
      </w:r>
      <w:r>
        <w:rPr>
          <w:rFonts w:hint="eastAsia" w:ascii="微软雅黑" w:hAnsi="微软雅黑" w:eastAsia="微软雅黑" w:cs="微软雅黑"/>
          <w:i w:val="0"/>
          <w:caps w:val="0"/>
          <w:color w:val="333333"/>
          <w:spacing w:val="0"/>
          <w:sz w:val="24"/>
          <w:szCs w:val="24"/>
          <w:u w:val="none"/>
          <w:bdr w:val="none" w:color="auto" w:sz="0" w:space="0"/>
          <w:shd w:val="clear" w:fill="FFFFFF"/>
        </w:rPr>
        <w:t>月</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31</w:t>
      </w:r>
      <w:r>
        <w:rPr>
          <w:rFonts w:hint="eastAsia" w:ascii="微软雅黑" w:hAnsi="微软雅黑" w:eastAsia="微软雅黑" w:cs="微软雅黑"/>
          <w:i w:val="0"/>
          <w:caps w:val="0"/>
          <w:color w:val="333333"/>
          <w:spacing w:val="0"/>
          <w:sz w:val="24"/>
          <w:szCs w:val="24"/>
          <w:u w:val="none"/>
          <w:bdr w:val="none" w:color="auto" w:sz="0" w:space="0"/>
          <w:shd w:val="clear" w:fill="FFFFFF"/>
        </w:rPr>
        <w:t>日。</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right"/>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rPr>
        <w:t>　　财政部 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right"/>
        <w:rPr>
          <w:rFonts w:hint="eastAsia" w:ascii="微软雅黑" w:hAnsi="微软雅黑" w:eastAsia="微软雅黑" w:cs="微软雅黑"/>
          <w:i w:val="0"/>
          <w:color w:val="666666"/>
          <w:sz w:val="24"/>
          <w:szCs w:val="24"/>
          <w:u w:val="none"/>
        </w:rPr>
      </w:pPr>
      <w:r>
        <w:rPr>
          <w:rFonts w:hint="eastAsia" w:ascii="微软雅黑" w:hAnsi="微软雅黑" w:eastAsia="微软雅黑" w:cs="微软雅黑"/>
          <w:i w:val="0"/>
          <w:caps w:val="0"/>
          <w:color w:val="333333"/>
          <w:spacing w:val="0"/>
          <w:sz w:val="24"/>
          <w:szCs w:val="24"/>
          <w:u w:val="none"/>
          <w:bdr w:val="none" w:color="auto" w:sz="0" w:space="0"/>
          <w:shd w:val="clear" w:fill="FFFFFF"/>
          <w:lang w:val="en-US"/>
        </w:rPr>
        <w:t>2023</w:t>
      </w:r>
      <w:r>
        <w:rPr>
          <w:rFonts w:hint="eastAsia" w:ascii="微软雅黑" w:hAnsi="微软雅黑" w:eastAsia="微软雅黑" w:cs="微软雅黑"/>
          <w:i w:val="0"/>
          <w:caps w:val="0"/>
          <w:color w:val="333333"/>
          <w:spacing w:val="0"/>
          <w:sz w:val="24"/>
          <w:szCs w:val="24"/>
          <w:u w:val="none"/>
          <w:bdr w:val="none" w:color="auto" w:sz="0" w:space="0"/>
          <w:shd w:val="clear" w:fill="FFFFFF"/>
        </w:rPr>
        <w:t>年</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9</w:t>
      </w:r>
      <w:r>
        <w:rPr>
          <w:rFonts w:hint="eastAsia" w:ascii="微软雅黑" w:hAnsi="微软雅黑" w:eastAsia="微软雅黑" w:cs="微软雅黑"/>
          <w:i w:val="0"/>
          <w:caps w:val="0"/>
          <w:color w:val="333333"/>
          <w:spacing w:val="0"/>
          <w:sz w:val="24"/>
          <w:szCs w:val="24"/>
          <w:u w:val="none"/>
          <w:bdr w:val="none" w:color="auto" w:sz="0" w:space="0"/>
          <w:shd w:val="clear" w:fill="FFFFFF"/>
        </w:rPr>
        <w:t>月</w:t>
      </w:r>
      <w:r>
        <w:rPr>
          <w:rFonts w:hint="eastAsia" w:ascii="微软雅黑" w:hAnsi="微软雅黑" w:eastAsia="微软雅黑" w:cs="微软雅黑"/>
          <w:i w:val="0"/>
          <w:caps w:val="0"/>
          <w:color w:val="666666"/>
          <w:spacing w:val="0"/>
          <w:sz w:val="24"/>
          <w:szCs w:val="24"/>
          <w:u w:val="none"/>
          <w:bdr w:val="none" w:color="auto" w:sz="0" w:space="0"/>
          <w:shd w:val="clear" w:fill="FFFFFF"/>
          <w:lang w:val="en-US"/>
        </w:rPr>
        <w:t>27</w:t>
      </w:r>
      <w:r>
        <w:rPr>
          <w:rFonts w:hint="eastAsia" w:ascii="微软雅黑" w:hAnsi="微软雅黑" w:eastAsia="微软雅黑" w:cs="微软雅黑"/>
          <w:i w:val="0"/>
          <w:caps w:val="0"/>
          <w:color w:val="333333"/>
          <w:spacing w:val="0"/>
          <w:sz w:val="24"/>
          <w:szCs w:val="24"/>
          <w:u w:val="none"/>
          <w:bdr w:val="none" w:color="auto" w:sz="0" w:space="0"/>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607BC"/>
    <w:rsid w:val="2C06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2023-12-28T13:39:00Z</dcterms:created>
  <dc:creator>Administrator</dc:creator>
  <cp:lastModifiedBy>Administrator</cp:lastModifiedBy>
  <dcterms:modified xsi:type="dcterms:W3CDTF">2023-12-28T13:39:54Z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