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i w:val="0"/>
          <w:color w:val="333333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关于铁路债券利息收入所得税政策的公告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75" w:beforeAutospacing="0" w:after="0" w:afterAutospacing="0" w:line="18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olor w:val="666666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</w:rPr>
        <w:t>发布时间：2023-09-28        发布机构：财政局        字体：[ 大 </w:t>
      </w:r>
      <w:r>
        <w:rPr>
          <w:rFonts w:hint="eastAsia" w:ascii="微软雅黑" w:hAnsi="微软雅黑" w:eastAsia="微软雅黑" w:cs="微软雅黑"/>
          <w:i w:val="0"/>
          <w:caps w:val="0"/>
          <w:color w:val="015293"/>
          <w:spacing w:val="0"/>
          <w:sz w:val="22"/>
          <w:szCs w:val="22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u w:val="none"/>
          <w:bdr w:val="none" w:color="auto" w:sz="0" w:space="0"/>
          <w:shd w:val="clear" w:fill="FFFFFF"/>
        </w:rPr>
        <w:t> 小]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3"/>
        <w:spacing w:before="0" w:beforeAutospacing="0" w:after="150" w:afterAutospacing="0" w:line="37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olor w:val="666666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3F3F3"/>
        </w:rPr>
        <w:t>体裁分类：减税降费        主题分类：财政、金融、审计        文号：财政部 税务总局公告 2023年第64号        索引号：000357333/2023-1345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为支持国家铁路建设，现就投资者取得中国国家铁路集团有 限公司发行的铁路债券利息收入有关所得税政策公告如下： 一、对企业投资者持有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2024—2027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年发行的铁路债券取得的 利息收入，减半征收企业所得税。 二、对个人投资者持有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2024—2027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年发行的铁路债券取得的 利息收入，减按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计入应纳税所得额计算征收个人所得税。税 款由兑付机构在向个人投资者兑付利息时代扣代缴。 三、铁路债券是指以中国国家铁路集团有限公司为发行和偿 还主体的债券，包括中国铁路建设债券、中期票据、短期融资券 等债务融资工具。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olor w:val="666666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D4833"/>
    <w:rsid w:val="160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2023-12-28T13:42:00Z</dcterms:created>
  <dc:creator>Administrator</dc:creator>
  <cp:lastModifiedBy>Administrator</cp:lastModifiedBy>
  <dcterms:modified xsi:type="dcterms:W3CDTF">2023-12-28T13:42:40Z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