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一、昌黎县信访局本级收支预算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一、昌黎县信访局本级收支预算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326.89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292.03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16.66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9.87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8.33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326.89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326.89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326.89</w:t>
            </w:r>
          </w:p>
        </w:tc>
        <w:tc>
          <w:tcPr>
            <w:tcW w:w="4535" w:type="dxa"/>
            <w:vAlign w:val="center"/>
          </w:tcPr>
          <w:p>
            <w:pPr>
              <w:pStyle w:val="单元格样式6"/>
            </w:pPr>
            <w:r>
              <w:t xml:space="preserve">支出总计</w:t>
            </w:r>
          </w:p>
        </w:tc>
        <w:tc>
          <w:tcPr>
            <w:tcW w:w="2126" w:type="dxa"/>
            <w:vAlign w:val="center"/>
          </w:tcPr>
          <w:p>
            <w:pPr>
              <w:pStyle w:val="单元格样式7"/>
            </w:pPr>
            <w:r>
              <w:t xml:space="preserve">326.89</w:t>
            </w:r>
          </w:p>
        </w:tc>
      </w:tr>
    </w:tbl>
    <w:p>
      <w:pPr>
        <w:sectPr>
          <w:footerReference w:type="even" r:id="rId9"/>
          <w:footerReference w:type="default" r:id="rId10"/>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326.89</w:t>
            </w:r>
          </w:p>
        </w:tc>
        <w:tc>
          <w:tcPr>
            <w:tcW w:w="1134" w:type="dxa"/>
            <w:vAlign w:val="center"/>
          </w:tcPr>
          <w:p>
            <w:pPr>
              <w:pStyle w:val="单元格样式7"/>
            </w:pPr>
            <w:r>
              <w:t xml:space="preserve">326.89</w:t>
            </w:r>
          </w:p>
        </w:tc>
        <w:tc>
          <w:tcPr>
            <w:tcW w:w="1134" w:type="dxa"/>
            <w:vAlign w:val="center"/>
          </w:tcPr>
          <w:p>
            <w:pPr>
              <w:pStyle w:val="单元格样式7"/>
            </w:pPr>
            <w:r>
              <w:t xml:space="preserve">326.89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292.03</w:t>
            </w:r>
          </w:p>
        </w:tc>
        <w:tc>
          <w:tcPr>
            <w:tcW w:w="1134" w:type="dxa"/>
            <w:vAlign w:val="center"/>
          </w:tcPr>
          <w:p>
            <w:pPr>
              <w:pStyle w:val="单元格样式4"/>
            </w:pPr>
            <w:r>
              <w:t xml:space="preserve">292.03</w:t>
            </w:r>
          </w:p>
        </w:tc>
        <w:tc>
          <w:tcPr>
            <w:tcW w:w="1134" w:type="dxa"/>
            <w:vAlign w:val="center"/>
          </w:tcPr>
          <w:p>
            <w:pPr>
              <w:pStyle w:val="单元格样式4"/>
            </w:pPr>
            <w:r>
              <w:t xml:space="preserve">292.03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292.03</w:t>
            </w:r>
          </w:p>
        </w:tc>
        <w:tc>
          <w:tcPr>
            <w:tcW w:w="1134" w:type="dxa"/>
            <w:vAlign w:val="center"/>
          </w:tcPr>
          <w:p>
            <w:pPr>
              <w:pStyle w:val="单元格样式4"/>
            </w:pPr>
            <w:r>
              <w:t xml:space="preserve">292.03</w:t>
            </w:r>
          </w:p>
        </w:tc>
        <w:tc>
          <w:tcPr>
            <w:tcW w:w="1134" w:type="dxa"/>
            <w:vAlign w:val="center"/>
          </w:tcPr>
          <w:p>
            <w:pPr>
              <w:pStyle w:val="单元格样式4"/>
            </w:pPr>
            <w:r>
              <w:t xml:space="preserve">292.03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2014001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121.77</w:t>
            </w:r>
          </w:p>
        </w:tc>
        <w:tc>
          <w:tcPr>
            <w:tcW w:w="1134" w:type="dxa"/>
            <w:vAlign w:val="center"/>
          </w:tcPr>
          <w:p>
            <w:pPr>
              <w:pStyle w:val="单元格样式4"/>
            </w:pPr>
            <w:r>
              <w:t xml:space="preserve">121.77</w:t>
            </w:r>
          </w:p>
        </w:tc>
        <w:tc>
          <w:tcPr>
            <w:tcW w:w="1134" w:type="dxa"/>
            <w:vAlign w:val="center"/>
          </w:tcPr>
          <w:p>
            <w:pPr>
              <w:pStyle w:val="单元格样式4"/>
            </w:pPr>
            <w:r>
              <w:t xml:space="preserve">121.77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2014004</w:t>
            </w:r>
          </w:p>
        </w:tc>
        <w:tc>
          <w:tcPr>
            <w:tcW w:w="1559" w:type="dxa"/>
            <w:vAlign w:val="center"/>
          </w:tcPr>
          <w:p>
            <w:pPr>
              <w:pStyle w:val="单元格样式2"/>
            </w:pPr>
            <w:r>
              <w:t xml:space="preserve">信访业务</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2014099</w:t>
            </w:r>
          </w:p>
        </w:tc>
        <w:tc>
          <w:tcPr>
            <w:tcW w:w="1559" w:type="dxa"/>
            <w:vAlign w:val="center"/>
          </w:tcPr>
          <w:p>
            <w:pPr>
              <w:pStyle w:val="单元格样式2"/>
            </w:pPr>
            <w:r>
              <w:t xml:space="preserve">其他信访事务支出</w:t>
            </w:r>
          </w:p>
        </w:tc>
        <w:tc>
          <w:tcPr>
            <w:tcW w:w="1134" w:type="dxa"/>
            <w:vAlign w:val="center"/>
          </w:tcPr>
          <w:p>
            <w:pPr>
              <w:pStyle w:val="单元格样式4"/>
            </w:pPr>
            <w:r>
              <w:t xml:space="preserve">20.26</w:t>
            </w:r>
          </w:p>
        </w:tc>
        <w:tc>
          <w:tcPr>
            <w:tcW w:w="1134" w:type="dxa"/>
            <w:vAlign w:val="center"/>
          </w:tcPr>
          <w:p>
            <w:pPr>
              <w:pStyle w:val="单元格样式4"/>
            </w:pPr>
            <w:r>
              <w:t xml:space="preserve">20.26</w:t>
            </w:r>
          </w:p>
        </w:tc>
        <w:tc>
          <w:tcPr>
            <w:tcW w:w="1134" w:type="dxa"/>
            <w:vAlign w:val="center"/>
          </w:tcPr>
          <w:p>
            <w:pPr>
              <w:pStyle w:val="单元格样式4"/>
            </w:pPr>
            <w:r>
              <w:t xml:space="preserve">20.26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16.66</w:t>
            </w:r>
          </w:p>
        </w:tc>
        <w:tc>
          <w:tcPr>
            <w:tcW w:w="1134" w:type="dxa"/>
            <w:vAlign w:val="center"/>
          </w:tcPr>
          <w:p>
            <w:pPr>
              <w:pStyle w:val="单元格样式4"/>
            </w:pPr>
            <w:r>
              <w:t xml:space="preserve">16.66</w:t>
            </w:r>
          </w:p>
        </w:tc>
        <w:tc>
          <w:tcPr>
            <w:tcW w:w="1134" w:type="dxa"/>
            <w:vAlign w:val="center"/>
          </w:tcPr>
          <w:p>
            <w:pPr>
              <w:pStyle w:val="单元格样式4"/>
            </w:pPr>
            <w:r>
              <w:t xml:space="preserve">16.66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16.66</w:t>
            </w:r>
          </w:p>
        </w:tc>
        <w:tc>
          <w:tcPr>
            <w:tcW w:w="1134" w:type="dxa"/>
            <w:vAlign w:val="center"/>
          </w:tcPr>
          <w:p>
            <w:pPr>
              <w:pStyle w:val="单元格样式4"/>
            </w:pPr>
            <w:r>
              <w:t xml:space="preserve">16.66</w:t>
            </w:r>
          </w:p>
        </w:tc>
        <w:tc>
          <w:tcPr>
            <w:tcW w:w="1134" w:type="dxa"/>
            <w:vAlign w:val="center"/>
          </w:tcPr>
          <w:p>
            <w:pPr>
              <w:pStyle w:val="单元格样式4"/>
            </w:pPr>
            <w:r>
              <w:t xml:space="preserve">16.66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16.66</w:t>
            </w:r>
          </w:p>
        </w:tc>
        <w:tc>
          <w:tcPr>
            <w:tcW w:w="1134" w:type="dxa"/>
            <w:vAlign w:val="center"/>
          </w:tcPr>
          <w:p>
            <w:pPr>
              <w:pStyle w:val="单元格样式4"/>
            </w:pPr>
            <w:r>
              <w:t xml:space="preserve">16.66</w:t>
            </w:r>
          </w:p>
        </w:tc>
        <w:tc>
          <w:tcPr>
            <w:tcW w:w="1134" w:type="dxa"/>
            <w:vAlign w:val="center"/>
          </w:tcPr>
          <w:p>
            <w:pPr>
              <w:pStyle w:val="单元格样式4"/>
            </w:pPr>
            <w:r>
              <w:t xml:space="preserve">16.66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9.87</w:t>
            </w:r>
          </w:p>
        </w:tc>
        <w:tc>
          <w:tcPr>
            <w:tcW w:w="1134" w:type="dxa"/>
            <w:vAlign w:val="center"/>
          </w:tcPr>
          <w:p>
            <w:pPr>
              <w:pStyle w:val="单元格样式4"/>
            </w:pPr>
            <w:r>
              <w:t xml:space="preserve">9.87</w:t>
            </w:r>
          </w:p>
        </w:tc>
        <w:tc>
          <w:tcPr>
            <w:tcW w:w="1134" w:type="dxa"/>
            <w:vAlign w:val="center"/>
          </w:tcPr>
          <w:p>
            <w:pPr>
              <w:pStyle w:val="单元格样式4"/>
            </w:pPr>
            <w:r>
              <w:t xml:space="preserve">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9.87</w:t>
            </w:r>
          </w:p>
        </w:tc>
        <w:tc>
          <w:tcPr>
            <w:tcW w:w="1134" w:type="dxa"/>
            <w:vAlign w:val="center"/>
          </w:tcPr>
          <w:p>
            <w:pPr>
              <w:pStyle w:val="单元格样式4"/>
            </w:pPr>
            <w:r>
              <w:t xml:space="preserve">9.87</w:t>
            </w:r>
          </w:p>
        </w:tc>
        <w:tc>
          <w:tcPr>
            <w:tcW w:w="1134" w:type="dxa"/>
            <w:vAlign w:val="center"/>
          </w:tcPr>
          <w:p>
            <w:pPr>
              <w:pStyle w:val="单元格样式4"/>
            </w:pPr>
            <w:r>
              <w:t xml:space="preserve">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1.84</w:t>
            </w:r>
          </w:p>
        </w:tc>
        <w:tc>
          <w:tcPr>
            <w:tcW w:w="1134" w:type="dxa"/>
            <w:vAlign w:val="center"/>
          </w:tcPr>
          <w:p>
            <w:pPr>
              <w:pStyle w:val="单元格样式4"/>
            </w:pPr>
            <w:r>
              <w:t xml:space="preserve">1.84</w:t>
            </w:r>
          </w:p>
        </w:tc>
        <w:tc>
          <w:tcPr>
            <w:tcW w:w="1134" w:type="dxa"/>
            <w:vAlign w:val="center"/>
          </w:tcPr>
          <w:p>
            <w:pPr>
              <w:pStyle w:val="单元格样式4"/>
            </w:pPr>
            <w:r>
              <w:t xml:space="preserve">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8.33</w:t>
            </w:r>
          </w:p>
        </w:tc>
        <w:tc>
          <w:tcPr>
            <w:tcW w:w="1134" w:type="dxa"/>
            <w:vAlign w:val="center"/>
          </w:tcPr>
          <w:p>
            <w:pPr>
              <w:pStyle w:val="单元格样式4"/>
            </w:pPr>
            <w:r>
              <w:t xml:space="preserve">8.33</w:t>
            </w:r>
          </w:p>
        </w:tc>
        <w:tc>
          <w:tcPr>
            <w:tcW w:w="1134" w:type="dxa"/>
            <w:vAlign w:val="center"/>
          </w:tcPr>
          <w:p>
            <w:pPr>
              <w:pStyle w:val="单元格样式4"/>
            </w:pPr>
            <w:r>
              <w:t xml:space="preserve">8.33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8.33</w:t>
            </w:r>
          </w:p>
        </w:tc>
        <w:tc>
          <w:tcPr>
            <w:tcW w:w="1134" w:type="dxa"/>
            <w:vAlign w:val="center"/>
          </w:tcPr>
          <w:p>
            <w:pPr>
              <w:pStyle w:val="单元格样式4"/>
            </w:pPr>
            <w:r>
              <w:t xml:space="preserve">8.33</w:t>
            </w:r>
          </w:p>
        </w:tc>
        <w:tc>
          <w:tcPr>
            <w:tcW w:w="1134" w:type="dxa"/>
            <w:vAlign w:val="center"/>
          </w:tcPr>
          <w:p>
            <w:pPr>
              <w:pStyle w:val="单元格样式4"/>
            </w:pPr>
            <w:r>
              <w:t xml:space="preserve">8.33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8.33</w:t>
            </w:r>
          </w:p>
        </w:tc>
        <w:tc>
          <w:tcPr>
            <w:tcW w:w="1134" w:type="dxa"/>
            <w:vAlign w:val="center"/>
          </w:tcPr>
          <w:p>
            <w:pPr>
              <w:pStyle w:val="单元格样式4"/>
            </w:pPr>
            <w:r>
              <w:t xml:space="preserve">8.33</w:t>
            </w:r>
          </w:p>
        </w:tc>
        <w:tc>
          <w:tcPr>
            <w:tcW w:w="1134" w:type="dxa"/>
            <w:vAlign w:val="center"/>
          </w:tcPr>
          <w:p>
            <w:pPr>
              <w:pStyle w:val="单元格样式4"/>
            </w:pPr>
            <w:r>
              <w:t xml:space="preserve">8.33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326.89</w:t>
            </w:r>
          </w:p>
        </w:tc>
        <w:tc>
          <w:tcPr>
            <w:tcW w:w="1361" w:type="dxa"/>
            <w:vAlign w:val="center"/>
          </w:tcPr>
          <w:p>
            <w:pPr>
              <w:pStyle w:val="单元格样式7"/>
            </w:pPr>
            <w:r>
              <w:t xml:space="preserve">176.89</w:t>
            </w:r>
          </w:p>
        </w:tc>
        <w:tc>
          <w:tcPr>
            <w:tcW w:w="1361" w:type="dxa"/>
            <w:vAlign w:val="center"/>
          </w:tcPr>
          <w:p>
            <w:pPr>
              <w:pStyle w:val="单元格样式7"/>
            </w:pPr>
            <w:r>
              <w:t xml:space="preserve">150.00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292.03</w:t>
            </w:r>
          </w:p>
        </w:tc>
        <w:tc>
          <w:tcPr>
            <w:tcW w:w="1361" w:type="dxa"/>
            <w:vAlign w:val="center"/>
          </w:tcPr>
          <w:p>
            <w:pPr>
              <w:pStyle w:val="单元格样式4"/>
            </w:pPr>
            <w:r>
              <w:t xml:space="preserve">142.03</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292.03</w:t>
            </w:r>
          </w:p>
        </w:tc>
        <w:tc>
          <w:tcPr>
            <w:tcW w:w="1361" w:type="dxa"/>
            <w:vAlign w:val="center"/>
          </w:tcPr>
          <w:p>
            <w:pPr>
              <w:pStyle w:val="单元格样式4"/>
            </w:pPr>
            <w:r>
              <w:t xml:space="preserve">142.03</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2014001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121.77</w:t>
            </w:r>
          </w:p>
        </w:tc>
        <w:tc>
          <w:tcPr>
            <w:tcW w:w="1361" w:type="dxa"/>
            <w:vAlign w:val="center"/>
          </w:tcPr>
          <w:p>
            <w:pPr>
              <w:pStyle w:val="单元格样式4"/>
            </w:pPr>
            <w:r>
              <w:t xml:space="preserve">121.77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2014099</w:t>
            </w:r>
          </w:p>
        </w:tc>
        <w:tc>
          <w:tcPr>
            <w:tcW w:w="4535" w:type="dxa"/>
            <w:vAlign w:val="center"/>
          </w:tcPr>
          <w:p>
            <w:pPr>
              <w:pStyle w:val="单元格样式2"/>
            </w:pPr>
            <w:r>
              <w:t xml:space="preserve">其他信访事务支出</w:t>
            </w:r>
          </w:p>
        </w:tc>
        <w:tc>
          <w:tcPr>
            <w:tcW w:w="1361" w:type="dxa"/>
            <w:vAlign w:val="center"/>
          </w:tcPr>
          <w:p>
            <w:pPr>
              <w:pStyle w:val="单元格样式4"/>
            </w:pPr>
            <w:r>
              <w:t xml:space="preserve">20.26</w:t>
            </w:r>
          </w:p>
        </w:tc>
        <w:tc>
          <w:tcPr>
            <w:tcW w:w="1361" w:type="dxa"/>
            <w:vAlign w:val="center"/>
          </w:tcPr>
          <w:p>
            <w:pPr>
              <w:pStyle w:val="单元格样式4"/>
            </w:pPr>
            <w:r>
              <w:t xml:space="preserve">20.26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16.66</w:t>
            </w:r>
          </w:p>
        </w:tc>
        <w:tc>
          <w:tcPr>
            <w:tcW w:w="1361" w:type="dxa"/>
            <w:vAlign w:val="center"/>
          </w:tcPr>
          <w:p>
            <w:pPr>
              <w:pStyle w:val="单元格样式4"/>
            </w:pPr>
            <w:r>
              <w:t xml:space="preserve">16.66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16.66</w:t>
            </w:r>
          </w:p>
        </w:tc>
        <w:tc>
          <w:tcPr>
            <w:tcW w:w="1361" w:type="dxa"/>
            <w:vAlign w:val="center"/>
          </w:tcPr>
          <w:p>
            <w:pPr>
              <w:pStyle w:val="单元格样式4"/>
            </w:pPr>
            <w:r>
              <w:t xml:space="preserve">16.66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16.66</w:t>
            </w:r>
          </w:p>
        </w:tc>
        <w:tc>
          <w:tcPr>
            <w:tcW w:w="1361" w:type="dxa"/>
            <w:vAlign w:val="center"/>
          </w:tcPr>
          <w:p>
            <w:pPr>
              <w:pStyle w:val="单元格样式4"/>
            </w:pPr>
            <w:r>
              <w:t xml:space="preserve">16.66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9.87</w:t>
            </w:r>
          </w:p>
        </w:tc>
        <w:tc>
          <w:tcPr>
            <w:tcW w:w="1361" w:type="dxa"/>
            <w:vAlign w:val="center"/>
          </w:tcPr>
          <w:p>
            <w:pPr>
              <w:pStyle w:val="单元格样式4"/>
            </w:pPr>
            <w:r>
              <w:t xml:space="preserve">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9.87</w:t>
            </w:r>
          </w:p>
        </w:tc>
        <w:tc>
          <w:tcPr>
            <w:tcW w:w="1361" w:type="dxa"/>
            <w:vAlign w:val="center"/>
          </w:tcPr>
          <w:p>
            <w:pPr>
              <w:pStyle w:val="单元格样式4"/>
            </w:pPr>
            <w:r>
              <w:t xml:space="preserve">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8.04</w:t>
            </w:r>
          </w:p>
        </w:tc>
        <w:tc>
          <w:tcPr>
            <w:tcW w:w="1361" w:type="dxa"/>
            <w:vAlign w:val="center"/>
          </w:tcPr>
          <w:p>
            <w:pPr>
              <w:pStyle w:val="单元格样式4"/>
            </w:pPr>
            <w:r>
              <w:t xml:space="preserve">8.04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1.84</w:t>
            </w:r>
          </w:p>
        </w:tc>
        <w:tc>
          <w:tcPr>
            <w:tcW w:w="1361" w:type="dxa"/>
            <w:vAlign w:val="center"/>
          </w:tcPr>
          <w:p>
            <w:pPr>
              <w:pStyle w:val="单元格样式4"/>
            </w:pPr>
            <w:r>
              <w:t xml:space="preserve">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8.33</w:t>
            </w:r>
          </w:p>
        </w:tc>
        <w:tc>
          <w:tcPr>
            <w:tcW w:w="1361" w:type="dxa"/>
            <w:vAlign w:val="center"/>
          </w:tcPr>
          <w:p>
            <w:pPr>
              <w:pStyle w:val="单元格样式4"/>
            </w:pPr>
            <w:r>
              <w:t xml:space="preserve">8.33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8.33</w:t>
            </w:r>
          </w:p>
        </w:tc>
        <w:tc>
          <w:tcPr>
            <w:tcW w:w="1361" w:type="dxa"/>
            <w:vAlign w:val="center"/>
          </w:tcPr>
          <w:p>
            <w:pPr>
              <w:pStyle w:val="单元格样式4"/>
            </w:pPr>
            <w:r>
              <w:t xml:space="preserve">8.33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8.33</w:t>
            </w:r>
          </w:p>
        </w:tc>
        <w:tc>
          <w:tcPr>
            <w:tcW w:w="1361" w:type="dxa"/>
            <w:vAlign w:val="center"/>
          </w:tcPr>
          <w:p>
            <w:pPr>
              <w:pStyle w:val="单元格样式4"/>
            </w:pPr>
            <w:r>
              <w:t xml:space="preserve">8.33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326.89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292.03</w:t>
            </w:r>
          </w:p>
        </w:tc>
        <w:tc>
          <w:tcPr>
            <w:tcW w:w="1474" w:type="dxa"/>
            <w:vAlign w:val="center"/>
          </w:tcPr>
          <w:p>
            <w:pPr>
              <w:pStyle w:val="单元格样式4"/>
            </w:pPr>
            <w:r>
              <w:t xml:space="preserve">292.03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16.66</w:t>
            </w:r>
          </w:p>
        </w:tc>
        <w:tc>
          <w:tcPr>
            <w:tcW w:w="1474" w:type="dxa"/>
            <w:vAlign w:val="center"/>
          </w:tcPr>
          <w:p>
            <w:pPr>
              <w:pStyle w:val="单元格样式4"/>
            </w:pPr>
            <w:r>
              <w:t xml:space="preserve">16.66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9.87</w:t>
            </w:r>
          </w:p>
        </w:tc>
        <w:tc>
          <w:tcPr>
            <w:tcW w:w="1474" w:type="dxa"/>
            <w:vAlign w:val="center"/>
          </w:tcPr>
          <w:p>
            <w:pPr>
              <w:pStyle w:val="单元格样式4"/>
            </w:pPr>
            <w:r>
              <w:t xml:space="preserve">9.87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8.33</w:t>
            </w:r>
          </w:p>
        </w:tc>
        <w:tc>
          <w:tcPr>
            <w:tcW w:w="1474" w:type="dxa"/>
            <w:vAlign w:val="center"/>
          </w:tcPr>
          <w:p>
            <w:pPr>
              <w:pStyle w:val="单元格样式4"/>
            </w:pPr>
            <w:r>
              <w:t xml:space="preserve">8.33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326.89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326.89</w:t>
            </w:r>
          </w:p>
        </w:tc>
        <w:tc>
          <w:tcPr>
            <w:tcW w:w="1474" w:type="dxa"/>
            <w:vAlign w:val="center"/>
          </w:tcPr>
          <w:p>
            <w:pPr>
              <w:pStyle w:val="单元格样式7"/>
            </w:pPr>
            <w:r>
              <w:t xml:space="preserve">326.89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326.89</w:t>
            </w:r>
          </w:p>
        </w:tc>
        <w:tc>
          <w:tcPr>
            <w:tcW w:w="3402" w:type="dxa"/>
            <w:vAlign w:val="center"/>
          </w:tcPr>
          <w:p>
            <w:pPr>
              <w:pStyle w:val="单元格样式6"/>
            </w:pPr>
            <w:r>
              <w:t xml:space="preserve">支出总计</w:t>
            </w:r>
          </w:p>
        </w:tc>
        <w:tc>
          <w:tcPr>
            <w:tcW w:w="1474" w:type="dxa"/>
            <w:vAlign w:val="center"/>
          </w:tcPr>
          <w:p>
            <w:pPr>
              <w:pStyle w:val="单元格样式7"/>
            </w:pPr>
            <w:r>
              <w:t xml:space="preserve">326.89</w:t>
            </w:r>
          </w:p>
        </w:tc>
        <w:tc>
          <w:tcPr>
            <w:tcW w:w="1474" w:type="dxa"/>
            <w:vAlign w:val="center"/>
          </w:tcPr>
          <w:p>
            <w:pPr>
              <w:pStyle w:val="单元格样式7"/>
            </w:pPr>
            <w:r>
              <w:t xml:space="preserve">326.89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326.89</w:t>
            </w:r>
          </w:p>
        </w:tc>
        <w:tc>
          <w:tcPr>
            <w:tcW w:w="2551" w:type="dxa"/>
            <w:vAlign w:val="center"/>
          </w:tcPr>
          <w:p>
            <w:pPr>
              <w:pStyle w:val="单元格样式7"/>
            </w:pPr>
            <w:r>
              <w:t xml:space="preserve">176.89</w:t>
            </w:r>
          </w:p>
        </w:tc>
        <w:tc>
          <w:tcPr>
            <w:tcW w:w="2551" w:type="dxa"/>
            <w:vAlign w:val="center"/>
          </w:tcPr>
          <w:p>
            <w:pPr>
              <w:pStyle w:val="单元格样式7"/>
            </w:pPr>
            <w:r>
              <w:t xml:space="preserve">150.00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292.03</w:t>
            </w:r>
          </w:p>
        </w:tc>
        <w:tc>
          <w:tcPr>
            <w:tcW w:w="2551" w:type="dxa"/>
            <w:vAlign w:val="center"/>
          </w:tcPr>
          <w:p>
            <w:pPr>
              <w:pStyle w:val="单元格样式4"/>
            </w:pPr>
            <w:r>
              <w:t xml:space="preserve">142.03</w:t>
            </w: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292.03</w:t>
            </w:r>
          </w:p>
        </w:tc>
        <w:tc>
          <w:tcPr>
            <w:tcW w:w="2551" w:type="dxa"/>
            <w:vAlign w:val="center"/>
          </w:tcPr>
          <w:p>
            <w:pPr>
              <w:pStyle w:val="单元格样式4"/>
            </w:pPr>
            <w:r>
              <w:t xml:space="preserve">142.03</w:t>
            </w: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2014001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121.77</w:t>
            </w:r>
          </w:p>
        </w:tc>
        <w:tc>
          <w:tcPr>
            <w:tcW w:w="2551" w:type="dxa"/>
            <w:vAlign w:val="center"/>
          </w:tcPr>
          <w:p>
            <w:pPr>
              <w:pStyle w:val="单元格样式4"/>
            </w:pPr>
            <w:r>
              <w:t xml:space="preserve">121.77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2014099</w:t>
            </w:r>
          </w:p>
        </w:tc>
        <w:tc>
          <w:tcPr>
            <w:tcW w:w="4535" w:type="dxa"/>
            <w:vAlign w:val="center"/>
          </w:tcPr>
          <w:p>
            <w:pPr>
              <w:pStyle w:val="单元格样式2"/>
            </w:pPr>
            <w:r>
              <w:t xml:space="preserve">其他信访事务支出</w:t>
            </w:r>
          </w:p>
        </w:tc>
        <w:tc>
          <w:tcPr>
            <w:tcW w:w="2551" w:type="dxa"/>
            <w:vAlign w:val="center"/>
          </w:tcPr>
          <w:p>
            <w:pPr>
              <w:pStyle w:val="单元格样式4"/>
            </w:pPr>
            <w:r>
              <w:t xml:space="preserve">20.26</w:t>
            </w:r>
          </w:p>
        </w:tc>
        <w:tc>
          <w:tcPr>
            <w:tcW w:w="2551" w:type="dxa"/>
            <w:vAlign w:val="center"/>
          </w:tcPr>
          <w:p>
            <w:pPr>
              <w:pStyle w:val="单元格样式4"/>
            </w:pPr>
            <w:r>
              <w:t xml:space="preserve">20.26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16.66</w:t>
            </w:r>
          </w:p>
        </w:tc>
        <w:tc>
          <w:tcPr>
            <w:tcW w:w="2551" w:type="dxa"/>
            <w:vAlign w:val="center"/>
          </w:tcPr>
          <w:p>
            <w:pPr>
              <w:pStyle w:val="单元格样式4"/>
            </w:pPr>
            <w:r>
              <w:t xml:space="preserve">16.66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16.66</w:t>
            </w:r>
          </w:p>
        </w:tc>
        <w:tc>
          <w:tcPr>
            <w:tcW w:w="2551" w:type="dxa"/>
            <w:vAlign w:val="center"/>
          </w:tcPr>
          <w:p>
            <w:pPr>
              <w:pStyle w:val="单元格样式4"/>
            </w:pPr>
            <w:r>
              <w:t xml:space="preserve">16.66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16.66</w:t>
            </w:r>
          </w:p>
        </w:tc>
        <w:tc>
          <w:tcPr>
            <w:tcW w:w="2551" w:type="dxa"/>
            <w:vAlign w:val="center"/>
          </w:tcPr>
          <w:p>
            <w:pPr>
              <w:pStyle w:val="单元格样式4"/>
            </w:pPr>
            <w:r>
              <w:t xml:space="preserve">16.66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9.87</w:t>
            </w:r>
          </w:p>
        </w:tc>
        <w:tc>
          <w:tcPr>
            <w:tcW w:w="2551" w:type="dxa"/>
            <w:vAlign w:val="center"/>
          </w:tcPr>
          <w:p>
            <w:pPr>
              <w:pStyle w:val="单元格样式4"/>
            </w:pPr>
            <w:r>
              <w:t xml:space="preserve">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9.87</w:t>
            </w:r>
          </w:p>
        </w:tc>
        <w:tc>
          <w:tcPr>
            <w:tcW w:w="2551" w:type="dxa"/>
            <w:vAlign w:val="center"/>
          </w:tcPr>
          <w:p>
            <w:pPr>
              <w:pStyle w:val="单元格样式4"/>
            </w:pPr>
            <w:r>
              <w:t xml:space="preserve">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8.04</w:t>
            </w:r>
          </w:p>
        </w:tc>
        <w:tc>
          <w:tcPr>
            <w:tcW w:w="2551" w:type="dxa"/>
            <w:vAlign w:val="center"/>
          </w:tcPr>
          <w:p>
            <w:pPr>
              <w:pStyle w:val="单元格样式4"/>
            </w:pPr>
            <w:r>
              <w:t xml:space="preserve">8.04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1.84</w:t>
            </w:r>
          </w:p>
        </w:tc>
        <w:tc>
          <w:tcPr>
            <w:tcW w:w="2551" w:type="dxa"/>
            <w:vAlign w:val="center"/>
          </w:tcPr>
          <w:p>
            <w:pPr>
              <w:pStyle w:val="单元格样式4"/>
            </w:pPr>
            <w:r>
              <w:t xml:space="preserve">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8.33</w:t>
            </w:r>
          </w:p>
        </w:tc>
        <w:tc>
          <w:tcPr>
            <w:tcW w:w="2551" w:type="dxa"/>
            <w:vAlign w:val="center"/>
          </w:tcPr>
          <w:p>
            <w:pPr>
              <w:pStyle w:val="单元格样式4"/>
            </w:pPr>
            <w:r>
              <w:t xml:space="preserve">8.33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8.33</w:t>
            </w:r>
          </w:p>
        </w:tc>
        <w:tc>
          <w:tcPr>
            <w:tcW w:w="2551" w:type="dxa"/>
            <w:vAlign w:val="center"/>
          </w:tcPr>
          <w:p>
            <w:pPr>
              <w:pStyle w:val="单元格样式4"/>
            </w:pPr>
            <w:r>
              <w:t xml:space="preserve">8.33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8.33</w:t>
            </w:r>
          </w:p>
        </w:tc>
        <w:tc>
          <w:tcPr>
            <w:tcW w:w="2551" w:type="dxa"/>
            <w:vAlign w:val="center"/>
          </w:tcPr>
          <w:p>
            <w:pPr>
              <w:pStyle w:val="单元格样式4"/>
            </w:pPr>
            <w:r>
              <w:t xml:space="preserve">8.33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176.89</w:t>
            </w:r>
          </w:p>
        </w:tc>
        <w:tc>
          <w:tcPr>
            <w:tcW w:w="2551" w:type="dxa"/>
            <w:vAlign w:val="center"/>
          </w:tcPr>
          <w:p>
            <w:pPr>
              <w:pStyle w:val="单元格样式7"/>
            </w:pPr>
            <w:r>
              <w:t xml:space="preserve">159.45</w:t>
            </w:r>
          </w:p>
        </w:tc>
        <w:tc>
          <w:tcPr>
            <w:tcW w:w="2551" w:type="dxa"/>
            <w:vAlign w:val="center"/>
          </w:tcPr>
          <w:p>
            <w:pPr>
              <w:pStyle w:val="单元格样式7"/>
            </w:pPr>
            <w:r>
              <w:t xml:space="preserve">17.44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152.77</w:t>
            </w:r>
          </w:p>
        </w:tc>
        <w:tc>
          <w:tcPr>
            <w:tcW w:w="2551" w:type="dxa"/>
            <w:vAlign w:val="center"/>
          </w:tcPr>
          <w:p>
            <w:pPr>
              <w:pStyle w:val="单元格样式4"/>
            </w:pPr>
            <w:r>
              <w:t xml:space="preserve">152.77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63.70</w:t>
            </w:r>
          </w:p>
        </w:tc>
        <w:tc>
          <w:tcPr>
            <w:tcW w:w="2551" w:type="dxa"/>
            <w:vAlign w:val="center"/>
          </w:tcPr>
          <w:p>
            <w:pPr>
              <w:pStyle w:val="单元格样式4"/>
            </w:pPr>
            <w:r>
              <w:t xml:space="preserve">63.70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30.09</w:t>
            </w:r>
          </w:p>
        </w:tc>
        <w:tc>
          <w:tcPr>
            <w:tcW w:w="2551" w:type="dxa"/>
            <w:vAlign w:val="center"/>
          </w:tcPr>
          <w:p>
            <w:pPr>
              <w:pStyle w:val="单元格样式4"/>
            </w:pPr>
            <w:r>
              <w:t xml:space="preserve">30.09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13.02</w:t>
            </w:r>
          </w:p>
        </w:tc>
        <w:tc>
          <w:tcPr>
            <w:tcW w:w="2551" w:type="dxa"/>
            <w:vAlign w:val="center"/>
          </w:tcPr>
          <w:p>
            <w:pPr>
              <w:pStyle w:val="单元格样式4"/>
            </w:pPr>
            <w:r>
              <w:t xml:space="preserve">13.02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7.27</w:t>
            </w:r>
          </w:p>
        </w:tc>
        <w:tc>
          <w:tcPr>
            <w:tcW w:w="2551" w:type="dxa"/>
            <w:vAlign w:val="center"/>
          </w:tcPr>
          <w:p>
            <w:pPr>
              <w:pStyle w:val="单元格样式4"/>
            </w:pPr>
            <w:r>
              <w:t xml:space="preserve">7.27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16.66</w:t>
            </w:r>
          </w:p>
        </w:tc>
        <w:tc>
          <w:tcPr>
            <w:tcW w:w="2551" w:type="dxa"/>
            <w:vAlign w:val="center"/>
          </w:tcPr>
          <w:p>
            <w:pPr>
              <w:pStyle w:val="单元格样式4"/>
            </w:pPr>
            <w:r>
              <w:t xml:space="preserve">16.66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9.87</w:t>
            </w:r>
          </w:p>
        </w:tc>
        <w:tc>
          <w:tcPr>
            <w:tcW w:w="2551" w:type="dxa"/>
            <w:vAlign w:val="center"/>
          </w:tcPr>
          <w:p>
            <w:pPr>
              <w:pStyle w:val="单元格样式4"/>
            </w:pPr>
            <w:r>
              <w:t xml:space="preserve">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2.21</w:t>
            </w:r>
          </w:p>
        </w:tc>
        <w:tc>
          <w:tcPr>
            <w:tcW w:w="2551" w:type="dxa"/>
            <w:vAlign w:val="center"/>
          </w:tcPr>
          <w:p>
            <w:pPr>
              <w:pStyle w:val="单元格样式4"/>
            </w:pPr>
            <w:r>
              <w:t xml:space="preserve">2.21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8.33</w:t>
            </w:r>
          </w:p>
        </w:tc>
        <w:tc>
          <w:tcPr>
            <w:tcW w:w="2551" w:type="dxa"/>
            <w:vAlign w:val="center"/>
          </w:tcPr>
          <w:p>
            <w:pPr>
              <w:pStyle w:val="单元格样式4"/>
            </w:pPr>
            <w:r>
              <w:t xml:space="preserve">8.33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1.63</w:t>
            </w:r>
          </w:p>
        </w:tc>
        <w:tc>
          <w:tcPr>
            <w:tcW w:w="2551" w:type="dxa"/>
            <w:vAlign w:val="center"/>
          </w:tcPr>
          <w:p>
            <w:pPr>
              <w:pStyle w:val="单元格样式4"/>
            </w:pPr>
            <w:r>
              <w:t xml:space="preserve">1.63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17.44</w:t>
            </w:r>
          </w:p>
        </w:tc>
        <w:tc>
          <w:tcPr>
            <w:tcW w:w="2551" w:type="dxa"/>
            <w:vAlign w:val="center"/>
          </w:tcPr>
          <w:p>
            <w:pPr>
              <w:pStyle w:val="单元格样式4"/>
            </w:pPr>
          </w:p>
        </w:tc>
        <w:tc>
          <w:tcPr>
            <w:tcW w:w="2551" w:type="dxa"/>
            <w:vAlign w:val="center"/>
          </w:tcPr>
          <w:p>
            <w:pPr>
              <w:pStyle w:val="单元格样式4"/>
            </w:pPr>
            <w:r>
              <w:t xml:space="preserve">17.44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3.20</w:t>
            </w:r>
          </w:p>
        </w:tc>
        <w:tc>
          <w:tcPr>
            <w:tcW w:w="2551" w:type="dxa"/>
            <w:vAlign w:val="center"/>
          </w:tcPr>
          <w:p>
            <w:pPr>
              <w:pStyle w:val="单元格样式4"/>
            </w:pPr>
          </w:p>
        </w:tc>
        <w:tc>
          <w:tcPr>
            <w:tcW w:w="2551" w:type="dxa"/>
            <w:vAlign w:val="center"/>
          </w:tcPr>
          <w:p>
            <w:pPr>
              <w:pStyle w:val="单元格样式4"/>
            </w:pPr>
            <w:r>
              <w:t xml:space="preserve">3.20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1.44</w:t>
            </w:r>
          </w:p>
        </w:tc>
        <w:tc>
          <w:tcPr>
            <w:tcW w:w="2551" w:type="dxa"/>
            <w:vAlign w:val="center"/>
          </w:tcPr>
          <w:p>
            <w:pPr>
              <w:pStyle w:val="单元格样式4"/>
            </w:pPr>
          </w:p>
        </w:tc>
        <w:tc>
          <w:tcPr>
            <w:tcW w:w="2551" w:type="dxa"/>
            <w:vAlign w:val="center"/>
          </w:tcPr>
          <w:p>
            <w:pPr>
              <w:pStyle w:val="单元格样式4"/>
            </w:pPr>
            <w:r>
              <w:t xml:space="preserve">1.44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7.26</w:t>
            </w:r>
          </w:p>
        </w:tc>
        <w:tc>
          <w:tcPr>
            <w:tcW w:w="2551" w:type="dxa"/>
            <w:vAlign w:val="center"/>
          </w:tcPr>
          <w:p>
            <w:pPr>
              <w:pStyle w:val="单元格样式4"/>
            </w:pPr>
          </w:p>
        </w:tc>
        <w:tc>
          <w:tcPr>
            <w:tcW w:w="2551" w:type="dxa"/>
            <w:vAlign w:val="center"/>
          </w:tcPr>
          <w:p>
            <w:pPr>
              <w:pStyle w:val="单元格样式4"/>
            </w:pPr>
            <w:r>
              <w:t xml:space="preserve">7.26</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0.14</w:t>
            </w:r>
          </w:p>
        </w:tc>
        <w:tc>
          <w:tcPr>
            <w:tcW w:w="2551" w:type="dxa"/>
            <w:vAlign w:val="center"/>
          </w:tcPr>
          <w:p>
            <w:pPr>
              <w:pStyle w:val="单元格样式4"/>
            </w:pPr>
          </w:p>
        </w:tc>
        <w:tc>
          <w:tcPr>
            <w:tcW w:w="2551" w:type="dxa"/>
            <w:vAlign w:val="center"/>
          </w:tcPr>
          <w:p>
            <w:pPr>
              <w:pStyle w:val="单元格样式4"/>
            </w:pPr>
            <w:r>
              <w:t xml:space="preserve">0.14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6.69</w:t>
            </w:r>
          </w:p>
        </w:tc>
        <w:tc>
          <w:tcPr>
            <w:tcW w:w="2551" w:type="dxa"/>
            <w:vAlign w:val="center"/>
          </w:tcPr>
          <w:p>
            <w:pPr>
              <w:pStyle w:val="单元格样式4"/>
            </w:pPr>
            <w:r>
              <w:t xml:space="preserve">6.69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4.80</w:t>
            </w:r>
          </w:p>
        </w:tc>
        <w:tc>
          <w:tcPr>
            <w:tcW w:w="2551" w:type="dxa"/>
            <w:vAlign w:val="center"/>
          </w:tcPr>
          <w:p>
            <w:pPr>
              <w:pStyle w:val="单元格样式4"/>
            </w:pPr>
            <w:r>
              <w:t xml:space="preserve">4.80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1.87</w:t>
            </w:r>
          </w:p>
        </w:tc>
        <w:tc>
          <w:tcPr>
            <w:tcW w:w="2551" w:type="dxa"/>
            <w:vAlign w:val="center"/>
          </w:tcPr>
          <w:p>
            <w:pPr>
              <w:pStyle w:val="单元格样式4"/>
            </w:pPr>
            <w:r>
              <w:t xml:space="preserve">1.87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0.01</w:t>
            </w:r>
          </w:p>
        </w:tc>
        <w:tc>
          <w:tcPr>
            <w:tcW w:w="2551" w:type="dxa"/>
            <w:vAlign w:val="center"/>
          </w:tcPr>
          <w:p>
            <w:pPr>
              <w:pStyle w:val="单元格样式4"/>
            </w:pPr>
            <w:r>
              <w:t xml:space="preserve">0.01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5.40</w:t>
            </w:r>
          </w:p>
        </w:tc>
        <w:tc>
          <w:tcPr>
            <w:tcW w:w="2381" w:type="dxa"/>
            <w:vAlign w:val="center"/>
          </w:tcPr>
          <w:p>
            <w:pPr>
              <w:pStyle w:val="单元格样式7"/>
            </w:pPr>
            <w:r>
              <w:t xml:space="preserve">5.40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昌黎县信访局本级2024年单位预算信息公开情况说明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按照《中华人民共和国预算法》、《地方预决算公开操作规程》和《关于进一步推进预算公开工作的实施意见》规定，现将昌黎县信访局本级2024年单位预算公开如下：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根据《昌黎县信访局职能配置、内设机构和人员编制规定》，昌黎县信访局的主要职责是：</w:t>
      </w:r>
    </w:p>
    <w:p>
      <w:pPr>
        <w:pStyle w:val="插入文本样式-插入单位职责文件"/>
      </w:pPr>
      <w:r>
        <w:t xml:space="preserve">1、贯彻上级有关信访稳定工作的部署，研究提出全县信访稳定工作思路，制定具体落实措施。</w:t>
      </w:r>
    </w:p>
    <w:p>
      <w:pPr>
        <w:pStyle w:val="插入文本样式-插入单位职责文件"/>
      </w:pPr>
      <w:r>
        <w:t xml:space="preserve">2、办理人民群众来信，接待群众来访，受理群众网上投诉，查办信访案件，受理信访事项复查复核，负责人民群众建议征集工作。</w:t>
      </w:r>
    </w:p>
    <w:p>
      <w:pPr>
        <w:pStyle w:val="插入文本样式-插入单位职责文件"/>
      </w:pPr>
      <w:r>
        <w:t xml:space="preserve">3、调查研究和综合分析全县信访形势及信访工作状况，总结推广信访工作经验，提出改进和加强信访工作的意见和建议。</w:t>
      </w:r>
    </w:p>
    <w:p>
      <w:pPr>
        <w:pStyle w:val="插入文本样式-插入单位职责文件"/>
      </w:pPr>
      <w:r>
        <w:t xml:space="preserve">4、参与全县社会治安综合治理和维护社会政治稳定工作，协助保障国家和省、市、县重大政治活动顺利进行，参与处理影响社会政治稳定的突发性、群体性事件。</w:t>
      </w:r>
    </w:p>
    <w:p>
      <w:pPr>
        <w:pStyle w:val="插入文本样式-插入单位职责文件"/>
      </w:pPr>
      <w:r>
        <w:t xml:space="preserve">5、督促检查和指导各乡镇和县直单位的信访工作；负责全县信访工作年度责任目标的考核工作，对全县社会治安综合治理和维护社会政治稳定年度责任目标中有关信访工作进行考核。</w:t>
      </w:r>
    </w:p>
    <w:p>
      <w:pPr>
        <w:pStyle w:val="插入文本样式-插入单位职责文件"/>
      </w:pPr>
      <w:r>
        <w:t xml:space="preserve">6、负责协调处理我县群众进京、赴省、到市上访工作，综合协调处理跨地区、跨部门、跨行业的重要信访问题；协助公安机关维护县委、县政府机关正常工作秩序。</w:t>
      </w:r>
    </w:p>
    <w:p>
      <w:pPr>
        <w:pStyle w:val="插入文本样式-插入单位职责文件"/>
      </w:pPr>
      <w:r>
        <w:t xml:space="preserve">7、负责县级领导公开接访、包联案件的组织协调工作；指导乡镇领导和县直单位领导公开接访和包联案件工作。</w:t>
      </w:r>
    </w:p>
    <w:p>
      <w:pPr>
        <w:pStyle w:val="插入文本样式-插入单位职责文件"/>
      </w:pPr>
      <w:r>
        <w:t xml:space="preserve">8、承担县信访工作联席会议的日常工作，督促落实联席会议议定的事项。</w:t>
      </w:r>
    </w:p>
    <w:p>
      <w:pPr>
        <w:pStyle w:val="插入文本样式-插入单位职责文件"/>
      </w:pPr>
      <w:r>
        <w:t xml:space="preserve">9、完成县委、县政府以及国家、省、市信访局交办的其他任务。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昌黎县信访局本级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326.894606万元，其中：一般公共预算收入326.894606万元，基金预算收入0万元，国有资本经营预算收入0万元，财政专户核拨收入0万元，单位资金收入0万元，上年结转结余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昌黎县信访局本级年度单位预算中支出预算的总体情况。2024年支出预算326.894606万元，其中基本支出176.894606万元，包括人员经费159.454606万元和日常公用经费17.44万元；项目支出150万元，主要为信访维稳经费150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326.894606万元，较2023年预算减少83.299664万元，其中：基本支出减少48.299664万元，主要为2023年劳务派遣等人员工资列入基本支出，2024年此项支出列入项目支出。项目支出减少35万元，主要为信访维稳经费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2024年，我单位机关运行经费共计安排17.44万元，主要用于日常维修、办公用房水电费、办公用房取暖费、办公用房物业管理费等日常运行支出。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5.40万元，其中因公出国（境）费0.00万元；公务用车购置及运维费5.40万元（其中：公务用车购置费为0.00万元，公务用车运维费5.40万元)；公务接待费0.00万元。与2023年相比增加1.80万元，增减变化的主要原因是增加1辆实有在编公车，增加相应公车运维费</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1、信访维稳经费绩效目标表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13032224P0082DE10233M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信访维稳经费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用于机关运行中水电费、劳务派遣等人员工资、信访维稳赴北京、石家庄差旅费。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1.保劳务派遣等人员工资发放</w:t>
            </w:r>
          </w:p>
          <w:p>
            <w:pPr>
              <w:pStyle w:val="单元格样式2"/>
            </w:pPr>
            <w:r>
              <w:t xml:space="preserve">2.保障水电费支出，维持机关正常运转</w:t>
            </w:r>
          </w:p>
          <w:p>
            <w:pPr>
              <w:pStyle w:val="单元格样式2"/>
            </w:pPr>
            <w:r>
              <w:t xml:space="preserve">3.通过支付昌黎县必要的信访事件支出，达到确保各敏感时期我县社会政治稳定，无进京非访、无进京集体访、无重大恶性事件、无网络炒作事件的效果。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保障劳务派遣人员工资发放人数</w:t>
            </w:r>
          </w:p>
        </w:tc>
        <w:tc>
          <w:tcPr>
            <w:tcW w:w="5386" w:type="dxa"/>
            <w:hMerge w:val="restart"/>
            <w:vAlign w:val="center"/>
          </w:tcPr>
          <w:p>
            <w:pPr>
              <w:pStyle w:val="单元格样式2"/>
            </w:pPr>
            <w:r>
              <w:t xml:space="preserve">保障劳务派遣等人员工资发放人数</w:t>
            </w:r>
          </w:p>
        </w:tc>
        <w:tc>
          <w:tcPr>
            <w:tcW w:w="0" w:type="auto"/>
            <w:hMerge/>
            <w:vAlign w:val="center"/>
          </w:tcPr>
          <w:p>
            <w:pPr/>
          </w:p>
        </w:tc>
        <w:tc>
          <w:tcPr>
            <w:tcW w:w="2268" w:type="dxa"/>
            <w:vAlign w:val="center"/>
          </w:tcPr>
          <w:p>
            <w:pPr>
              <w:pStyle w:val="单元格样式2"/>
            </w:pPr>
            <w:r>
              <w:t xml:space="preserve">≥12人</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进京赴省访总量下降率</w:t>
            </w:r>
          </w:p>
        </w:tc>
        <w:tc>
          <w:tcPr>
            <w:tcW w:w="5386" w:type="dxa"/>
            <w:hMerge w:val="restart"/>
            <w:vAlign w:val="center"/>
          </w:tcPr>
          <w:p>
            <w:pPr>
              <w:pStyle w:val="单元格样式2"/>
            </w:pPr>
            <w:r>
              <w:t xml:space="preserve">进京赴省访总量比上年减少数量与上年进京赴省访总量的比率</w:t>
            </w:r>
          </w:p>
        </w:tc>
        <w:tc>
          <w:tcPr>
            <w:tcW w:w="0" w:type="auto"/>
            <w:hMerge/>
            <w:vAlign w:val="center"/>
          </w:tcPr>
          <w:p>
            <w:pPr/>
          </w:p>
        </w:tc>
        <w:tc>
          <w:tcPr>
            <w:tcW w:w="2268" w:type="dxa"/>
            <w:vAlign w:val="center"/>
          </w:tcPr>
          <w:p>
            <w:pPr>
              <w:pStyle w:val="单元格样式2"/>
            </w:pPr>
            <w:r>
              <w:t xml:space="preserve">≥20%</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突发事件及时处置率</w:t>
            </w:r>
          </w:p>
        </w:tc>
        <w:tc>
          <w:tcPr>
            <w:tcW w:w="5386" w:type="dxa"/>
            <w:hMerge w:val="restart"/>
            <w:vAlign w:val="center"/>
          </w:tcPr>
          <w:p>
            <w:pPr>
              <w:pStyle w:val="单元格样式2"/>
            </w:pPr>
            <w:r>
              <w:t xml:space="preserve">突发事件占敏感时期所有突发事件的比率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北京值班全年人均差旅成本</w:t>
            </w:r>
          </w:p>
        </w:tc>
        <w:tc>
          <w:tcPr>
            <w:tcW w:w="5386" w:type="dxa"/>
            <w:hMerge w:val="restart"/>
            <w:vAlign w:val="center"/>
          </w:tcPr>
          <w:p>
            <w:pPr>
              <w:pStyle w:val="单元格样式2"/>
            </w:pPr>
            <w:r>
              <w:t xml:space="preserve">北京值班全年人均差旅标准</w:t>
            </w:r>
          </w:p>
        </w:tc>
        <w:tc>
          <w:tcPr>
            <w:tcW w:w="0" w:type="auto"/>
            <w:hMerge/>
            <w:vAlign w:val="center"/>
          </w:tcPr>
          <w:p>
            <w:pPr/>
          </w:p>
        </w:tc>
        <w:tc>
          <w:tcPr>
            <w:tcW w:w="2268" w:type="dxa"/>
            <w:vAlign w:val="center"/>
          </w:tcPr>
          <w:p>
            <w:pPr>
              <w:pStyle w:val="单元格样式2"/>
            </w:pPr>
            <w:r>
              <w:t xml:space="preserve">≤680元/人</w:t>
            </w:r>
          </w:p>
        </w:tc>
        <w:tc>
          <w:tcPr>
            <w:tcW w:w="1276" w:type="dxa"/>
            <w:vAlign w:val="center"/>
          </w:tcPr>
          <w:p>
            <w:pPr>
              <w:pStyle w:val="单元格样式2"/>
            </w:pPr>
            <w:r>
              <w:t xml:space="preserve">差旅费管理办法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提高财政资金的使用效率</w:t>
            </w:r>
          </w:p>
        </w:tc>
        <w:tc>
          <w:tcPr>
            <w:tcW w:w="5386" w:type="dxa"/>
            <w:hMerge w:val="restart"/>
            <w:vAlign w:val="center"/>
          </w:tcPr>
          <w:p>
            <w:pPr>
              <w:pStyle w:val="单元格样式2"/>
            </w:pPr>
            <w:r>
              <w:t xml:space="preserve">通过科学编制预算，严格遵守各项规章制度，提高财政资金的使用效率，做到节俭高效。</w:t>
            </w:r>
          </w:p>
        </w:tc>
        <w:tc>
          <w:tcPr>
            <w:tcW w:w="0" w:type="auto"/>
            <w:hMerge/>
            <w:vAlign w:val="center"/>
          </w:tcPr>
          <w:p>
            <w:pPr/>
          </w:p>
        </w:tc>
        <w:tc>
          <w:tcPr>
            <w:tcW w:w="2268" w:type="dxa"/>
            <w:vAlign w:val="center"/>
          </w:tcPr>
          <w:p>
            <w:pPr>
              <w:pStyle w:val="单元格样式2"/>
            </w:pPr>
            <w:r>
              <w:t xml:space="preserve">较上年提高</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提高各敏感时期我县社会政治稳定</w:t>
            </w:r>
          </w:p>
        </w:tc>
        <w:tc>
          <w:tcPr>
            <w:tcW w:w="5386" w:type="dxa"/>
            <w:hMerge w:val="restart"/>
            <w:vAlign w:val="center"/>
          </w:tcPr>
          <w:p>
            <w:pPr>
              <w:pStyle w:val="单元格样式2"/>
            </w:pPr>
            <w:r>
              <w:t xml:space="preserve">提高各敏感时期我县社会政治稳定</w:t>
            </w:r>
          </w:p>
        </w:tc>
        <w:tc>
          <w:tcPr>
            <w:tcW w:w="0" w:type="auto"/>
            <w:hMerge/>
            <w:vAlign w:val="center"/>
          </w:tcPr>
          <w:p>
            <w:pPr/>
          </w:p>
        </w:tc>
        <w:tc>
          <w:tcPr>
            <w:tcW w:w="2268" w:type="dxa"/>
            <w:vAlign w:val="center"/>
          </w:tcPr>
          <w:p>
            <w:pPr>
              <w:pStyle w:val="单元格样式2"/>
            </w:pPr>
            <w:r>
              <w:t xml:space="preserve">进一步提高</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降低能耗</w:t>
            </w:r>
          </w:p>
        </w:tc>
        <w:tc>
          <w:tcPr>
            <w:tcW w:w="5386" w:type="dxa"/>
            <w:hMerge w:val="restart"/>
            <w:vAlign w:val="center"/>
          </w:tcPr>
          <w:p>
            <w:pPr>
              <w:pStyle w:val="单元格样式2"/>
            </w:pPr>
            <w:r>
              <w:t xml:space="preserve">办公期间节约水电等能源，能源节约情况</w:t>
            </w:r>
          </w:p>
        </w:tc>
        <w:tc>
          <w:tcPr>
            <w:tcW w:w="0" w:type="auto"/>
            <w:hMerge/>
            <w:vAlign w:val="center"/>
          </w:tcPr>
          <w:p>
            <w:pPr/>
          </w:p>
        </w:tc>
        <w:tc>
          <w:tcPr>
            <w:tcW w:w="2268" w:type="dxa"/>
            <w:vAlign w:val="center"/>
          </w:tcPr>
          <w:p>
            <w:pPr>
              <w:pStyle w:val="单元格样式2"/>
            </w:pPr>
            <w:r>
              <w:t xml:space="preserve">较上年降低</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信访维稳工资经费持续发挥作用期限</w:t>
            </w:r>
          </w:p>
        </w:tc>
        <w:tc>
          <w:tcPr>
            <w:tcW w:w="5386" w:type="dxa"/>
            <w:hMerge w:val="restart"/>
            <w:vAlign w:val="center"/>
          </w:tcPr>
          <w:p>
            <w:pPr>
              <w:pStyle w:val="单元格样式2"/>
            </w:pPr>
            <w:r>
              <w:t xml:space="preserve">信访维稳工作持续发挥作用期限</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信访群众满意率</w:t>
            </w:r>
          </w:p>
        </w:tc>
        <w:tc>
          <w:tcPr>
            <w:tcW w:w="5386" w:type="dxa"/>
            <w:hMerge w:val="restart"/>
            <w:vAlign w:val="center"/>
          </w:tcPr>
          <w:p>
            <w:pPr>
              <w:pStyle w:val="单元格样式2"/>
            </w:pPr>
            <w:r>
              <w:t xml:space="preserve">信访群众网上评价满意人数占全部评价人数的比率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昌黎县信访局本级上年末固定资产金额为172.04万元（详见下表）。本年度拟购置固定资产总额为0.00万元，已按要求列入政府采购预算，详见政府采购预算表。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172.04</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500</w:t>
            </w:r>
          </w:p>
        </w:tc>
        <w:tc>
          <w:tcPr>
            <w:tcW w:w="2835" w:type="dxa"/>
            <w:vAlign w:val="center"/>
          </w:tcPr>
          <w:p>
            <w:pPr>
              <w:pStyle w:val="单元格样式4"/>
            </w:pPr>
            <w:r>
              <w:t xml:space="preserve">20.00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500</w:t>
            </w:r>
          </w:p>
        </w:tc>
        <w:tc>
          <w:tcPr>
            <w:tcW w:w="2835" w:type="dxa"/>
            <w:vAlign w:val="center"/>
          </w:tcPr>
          <w:p>
            <w:pPr>
              <w:pStyle w:val="单元格样式4"/>
            </w:pPr>
            <w:r>
              <w:t xml:space="preserve">20.00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340</w:t>
            </w:r>
          </w:p>
        </w:tc>
        <w:tc>
          <w:tcPr>
            <w:tcW w:w="2835" w:type="dxa"/>
            <w:vAlign w:val="center"/>
          </w:tcPr>
          <w:p>
            <w:pPr>
              <w:pStyle w:val="单元格样式4"/>
            </w:pPr>
            <w:r>
              <w:t xml:space="preserve">152.04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2024-02-05T10:15:50Z</dcterms:created>
  <dcterms:modified xsi:type="dcterms:W3CDTF">2024-02-05T02:15:50Z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2024-02-05T10:15:54Z</dcterms:created>
  <dcterms:modified xsi:type="dcterms:W3CDTF">2024-02-05T02:15:53Z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2024-02-05T10:15:54Z</dcterms:created>
  <dcterms:modified xsi:type="dcterms:W3CDTF">2024-02-05T02:15:54Z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2024-02-05T10:15:55Z</dcterms:created>
  <dcterms:modified xsi:type="dcterms:W3CDTF">2024-02-05T02:15:55Z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2024-02-05T10:15:55Z</dcterms:created>
  <dcterms:modified xsi:type="dcterms:W3CDTF">2024-02-05T02:16:06Z</dcterms:modified>
</cp:coreProperties>
</file>