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  <w:r>
        <w:pict>
          <v:shape id="1026" o:spid="_x0000_s1026" o:spt="202" type="#_x0000_t202" style="position:absolute;left:0pt;margin-left:222.3pt;margin-top:659.75pt;height:28.7pt;width:155.0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20" w:line="229" w:lineRule="auto"/>
                    <w:ind w:left="20"/>
                    <w:rPr>
                      <w:rFonts w:ascii="楷体" w:hAnsi="楷体" w:eastAsia="楷体" w:cs="楷体"/>
                      <w:sz w:val="43"/>
                      <w:szCs w:val="43"/>
                    </w:rPr>
                  </w:pPr>
                  <w:r>
                    <w:rPr>
                      <w:rFonts w:ascii="楷体" w:hAnsi="楷体" w:eastAsia="楷体" w:cs="楷体"/>
                      <w:spacing w:val="7"/>
                      <w:sz w:val="43"/>
                      <w:szCs w:val="43"/>
                    </w:rPr>
                    <w:t>二〇一九年十月</w:t>
                  </w:r>
                </w:p>
              </w:txbxContent>
            </v:textbox>
          </v:shape>
        </w:pict>
      </w:r>
      <w:r>
        <w:pict>
          <v:shape id="1027" o:spid="_x0000_s1027" o:spt="202" type="#_x0000_t202" style="position:absolute;left:0pt;margin-left:44.35pt;margin-top:222.9pt;height:127.6pt;width:524.6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20" w:line="1360" w:lineRule="exact"/>
                    <w:ind w:left="20"/>
                    <w:rPr>
                      <w:rFonts w:ascii="SimHei" w:hAnsi="SimHei" w:eastAsia="SimHei" w:cs="SimHei"/>
                      <w:sz w:val="95"/>
                      <w:szCs w:val="95"/>
                    </w:rPr>
                  </w:pPr>
                  <w:r>
                    <w:rPr>
                      <w:rFonts w:ascii="SimHei" w:hAnsi="SimHei" w:eastAsia="SimHei" w:cs="SimHei"/>
                      <w:color w:val="FDEFBE"/>
                      <w:position w:val="26"/>
                      <w:sz w:val="95"/>
                      <w:szCs w:val="95"/>
                    </w:rPr>
                    <w:t>昌黎县城郊区管理委员会</w:t>
                  </w:r>
                </w:p>
                <w:p>
                  <w:pPr>
                    <w:spacing w:before="2" w:line="223" w:lineRule="auto"/>
                    <w:ind w:left="1261"/>
                    <w:rPr>
                      <w:rFonts w:ascii="SimHei" w:hAnsi="SimHei" w:eastAsia="SimHei" w:cs="SimHei"/>
                      <w:sz w:val="95"/>
                      <w:szCs w:val="95"/>
                    </w:rPr>
                  </w:pPr>
                  <w:r>
                    <w:rPr>
                      <w:rFonts w:ascii="SimHei" w:hAnsi="SimHei" w:eastAsia="SimHei" w:cs="SimHei"/>
                      <w:color w:val="FDEFBE"/>
                      <w:sz w:val="95"/>
                      <w:szCs w:val="95"/>
                    </w:rPr>
                    <w:t>2018</w:t>
                  </w:r>
                  <w:r>
                    <w:rPr>
                      <w:rFonts w:ascii="SimHei" w:hAnsi="SimHei" w:eastAsia="SimHei" w:cs="SimHei"/>
                      <w:color w:val="FDEFBE"/>
                      <w:spacing w:val="-186"/>
                      <w:sz w:val="95"/>
                      <w:szCs w:val="95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color w:val="FDEFBE"/>
                      <w:sz w:val="95"/>
                      <w:szCs w:val="95"/>
                    </w:rPr>
                    <w:t>年度部门决算</w:t>
                  </w:r>
                </w:p>
              </w:txbxContent>
            </v:textbox>
          </v:shape>
        </w:pic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166" w:lineRule="auto"/>
        <w:ind w:left="5974"/>
        <w:rPr>
          <w:rFonts w:ascii="Cambria" w:hAnsi="Cambria" w:eastAsia="Cambria" w:cs="Cambria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-9286240</wp:posOffset>
            </wp:positionV>
            <wp:extent cx="7543800" cy="10649585"/>
            <wp:effectExtent l="0" t="0" r="0" b="0"/>
            <wp:wrapNone/>
            <wp:docPr id="102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 1"/>
                    <pic:cNvPicPr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9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eastAsia="Cambria" w:cs="Cambria"/>
          <w:sz w:val="21"/>
          <w:szCs w:val="21"/>
        </w:rPr>
        <w:t>1</w:t>
      </w:r>
    </w:p>
    <w:p>
      <w:pPr>
        <w:spacing w:line="166" w:lineRule="auto"/>
        <w:rPr>
          <w:rFonts w:ascii="Cambria" w:hAnsi="Cambria" w:eastAsia="Cambria" w:cs="Cambria"/>
          <w:sz w:val="21"/>
          <w:szCs w:val="21"/>
        </w:rPr>
        <w:sectPr>
          <w:pgSz w:w="11906" w:h="16839"/>
          <w:pgMar w:top="24" w:right="25" w:bottom="0" w:left="0" w:header="0" w:footer="0" w:gutter="0"/>
          <w:cols w:space="720" w:num="1"/>
        </w:sectPr>
      </w:pPr>
    </w:p>
    <w:tbl>
      <w:tblPr>
        <w:tblStyle w:val="4"/>
        <w:tblW w:w="4940" w:type="dxa"/>
        <w:tblInd w:w="10" w:type="dxa"/>
        <w:tblBorders>
          <w:top w:val="single" w:color="845209" w:sz="16" w:space="0"/>
          <w:left w:val="single" w:color="845209" w:sz="8" w:space="0"/>
          <w:bottom w:val="single" w:color="845209" w:sz="16" w:space="0"/>
          <w:right w:val="single" w:color="845209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0"/>
      </w:tblGrid>
      <w:tr>
        <w:tblPrEx>
          <w:tblBorders>
            <w:top w:val="single" w:color="845209" w:sz="16" w:space="0"/>
            <w:left w:val="single" w:color="845209" w:sz="8" w:space="0"/>
            <w:bottom w:val="single" w:color="845209" w:sz="16" w:space="0"/>
            <w:right w:val="single" w:color="845209" w:sz="1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940" w:type="dxa"/>
            <w:shd w:val="clear" w:color="auto" w:fill="D8D8D8"/>
          </w:tcPr>
          <w:p>
            <w:pPr>
              <w:spacing w:before="152" w:line="727" w:lineRule="exact"/>
              <w:textAlignment w:val="center"/>
            </w:pPr>
            <w:r>
              <w:pict>
                <v:group id="1029" o:spid="_x0000_s1028" o:spt="203" style="height:37.95pt;width:243.65pt;" coordsize="4872,759">
                  <o:lock v:ext="edit"/>
                  <v:shape id="1030" o:spid="_x0000_s1029" o:spt="75" type="#_x0000_t75" style="position:absolute;left:0;top:0;height:759;width:4872;" filled="f" stroked="f" coordsize="21600,21600">
                    <v:path/>
                    <v:fill on="f" focussize="0,0"/>
                    <v:stroke on="f"/>
                    <v:imagedata r:id="rId28" embosscolor="#FFFFFF" o:title=""/>
                    <o:lock v:ext="edit" aspectratio="t"/>
                  </v:shape>
                  <v:shape id="1031" o:spid="_x0000_s1030" o:spt="202" type="#_x0000_t202" style="position:absolute;left:-20;top:-20;height:860;width:4912;" filled="f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304" w:line="508" w:lineRule="exact"/>
                            <w:ind w:left="194"/>
                            <w:rPr>
                              <w:rFonts w:ascii="楷体" w:hAnsi="楷体" w:eastAsia="楷体" w:cs="楷体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6"/>
                              <w:position w:val="3"/>
                              <w:sz w:val="35"/>
                              <w:szCs w:val="35"/>
                            </w:rPr>
                            <w:t>2018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-60"/>
                              <w:position w:val="3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6"/>
                              <w:position w:val="3"/>
                              <w:sz w:val="35"/>
                              <w:szCs w:val="35"/>
                            </w:rPr>
                            <w:t>年度部门决算</w:t>
                          </w:r>
                          <w:r>
                            <w:rPr>
                              <w:rFonts w:ascii="MS Gothic" w:hAnsi="MS Gothic" w:eastAsia="MS Gothic" w:cs="MS Gothic"/>
                              <w:color w:val="FDEFBE"/>
                              <w:spacing w:val="6"/>
                              <w:position w:val="3"/>
                              <w:sz w:val="35"/>
                              <w:szCs w:val="35"/>
                            </w:rPr>
                            <w:t>☞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6"/>
                              <w:position w:val="3"/>
                              <w:sz w:val="35"/>
                              <w:szCs w:val="35"/>
                            </w:rPr>
                            <w:t>目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44"/>
                              <w:position w:val="3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6"/>
                              <w:position w:val="3"/>
                              <w:sz w:val="35"/>
                              <w:szCs w:val="35"/>
                            </w:rPr>
                            <w:t>录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before="70" w:line="226" w:lineRule="auto"/>
        <w:ind w:left="5488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pacing w:val="-35"/>
          <w:sz w:val="47"/>
          <w:szCs w:val="47"/>
        </w:rPr>
        <w:t>目</w:t>
      </w:r>
      <w:r>
        <w:rPr>
          <w:rFonts w:ascii="SimHei" w:hAnsi="SimHei" w:eastAsia="SimHei" w:cs="SimHei"/>
          <w:spacing w:val="27"/>
          <w:sz w:val="47"/>
          <w:szCs w:val="47"/>
        </w:rPr>
        <w:t xml:space="preserve"> </w:t>
      </w:r>
      <w:r>
        <w:rPr>
          <w:rFonts w:ascii="SimHei" w:hAnsi="SimHei" w:eastAsia="SimHei" w:cs="SimHei"/>
          <w:spacing w:val="-35"/>
          <w:sz w:val="47"/>
          <w:szCs w:val="47"/>
        </w:rPr>
        <w:t>录</w:t>
      </w:r>
    </w:p>
    <w:p>
      <w:pPr>
        <w:spacing w:before="113" w:line="771" w:lineRule="exact"/>
        <w:ind w:left="2225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position w:val="34"/>
          <w:sz w:val="31"/>
          <w:szCs w:val="31"/>
        </w:rPr>
        <w:t>第一部分</w:t>
      </w:r>
      <w:r>
        <w:rPr>
          <w:rFonts w:ascii="SimHei" w:hAnsi="SimHei" w:eastAsia="SimHei" w:cs="SimHei"/>
          <w:spacing w:val="3"/>
          <w:position w:val="34"/>
          <w:sz w:val="31"/>
          <w:szCs w:val="31"/>
        </w:rPr>
        <w:t xml:space="preserve">   </w:t>
      </w:r>
      <w:r>
        <w:rPr>
          <w:rFonts w:ascii="SimHei" w:hAnsi="SimHei" w:eastAsia="SimHei" w:cs="SimHei"/>
          <w:spacing w:val="5"/>
          <w:position w:val="34"/>
          <w:sz w:val="31"/>
          <w:szCs w:val="31"/>
        </w:rPr>
        <w:t>部门概况</w:t>
      </w:r>
    </w:p>
    <w:p>
      <w:pPr>
        <w:spacing w:line="227" w:lineRule="auto"/>
        <w:ind w:left="24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一、部门职责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01" w:line="228" w:lineRule="auto"/>
        <w:ind w:left="24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二、机构设置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7" w:lineRule="auto"/>
        <w:ind w:left="223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第二部分</w:t>
      </w:r>
      <w:r>
        <w:rPr>
          <w:rFonts w:ascii="SimHei" w:hAnsi="SimHei" w:eastAsia="SimHei" w:cs="SimHei"/>
          <w:spacing w:val="11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6"/>
          <w:sz w:val="31"/>
          <w:szCs w:val="31"/>
        </w:rPr>
        <w:t>年度部门决算报表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7" w:lineRule="auto"/>
        <w:ind w:left="23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27" w:lineRule="auto"/>
        <w:ind w:left="24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2" w:line="227" w:lineRule="auto"/>
        <w:ind w:left="24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27" w:lineRule="auto"/>
        <w:ind w:left="24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7" w:lineRule="auto"/>
        <w:ind w:left="24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2" w:line="227" w:lineRule="auto"/>
        <w:ind w:left="24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2" w:line="227" w:lineRule="auto"/>
        <w:ind w:left="24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七、一般公共预算财政拨款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经费支出决算表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0" w:line="226" w:lineRule="auto"/>
        <w:ind w:left="24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八、政府性基金预算财政拨款收入支出决算表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7" w:lineRule="auto"/>
        <w:ind w:left="24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九、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国有资本经营预算财政拨款支出决算表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2" w:line="228" w:lineRule="auto"/>
        <w:ind w:left="24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十、政府采购情况表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794" w:right="1785" w:bottom="2128" w:left="0" w:header="0" w:footer="1962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tbl>
      <w:tblPr>
        <w:tblStyle w:val="4"/>
        <w:tblW w:w="4981" w:type="dxa"/>
        <w:tblInd w:w="10" w:type="dxa"/>
        <w:tblBorders>
          <w:top w:val="single" w:color="845209" w:sz="16" w:space="0"/>
          <w:left w:val="single" w:color="845209" w:sz="8" w:space="0"/>
          <w:bottom w:val="single" w:color="845209" w:sz="16" w:space="0"/>
          <w:right w:val="single" w:color="845209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1"/>
      </w:tblGrid>
      <w:tr>
        <w:tblPrEx>
          <w:tblBorders>
            <w:top w:val="single" w:color="845209" w:sz="16" w:space="0"/>
            <w:left w:val="single" w:color="845209" w:sz="8" w:space="0"/>
            <w:bottom w:val="single" w:color="845209" w:sz="16" w:space="0"/>
            <w:right w:val="single" w:color="845209" w:sz="1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81" w:type="dxa"/>
            <w:shd w:val="clear" w:color="auto" w:fill="D8D8D8"/>
          </w:tcPr>
          <w:p>
            <w:pPr>
              <w:spacing w:before="113" w:line="731" w:lineRule="exact"/>
              <w:textAlignment w:val="center"/>
            </w:pPr>
            <w:r>
              <w:pict>
                <v:group id="1033" o:spid="_x0000_s1031" o:spt="203" style="height:37.95pt;width:243.65pt;" coordsize="4872,759">
                  <o:lock v:ext="edit"/>
                  <v:shape id="1034" o:spid="_x0000_s1032" o:spt="75" type="#_x0000_t75" style="position:absolute;left:0;top:0;height:759;width:4872;" filled="f" stroked="f" coordsize="21600,21600">
                    <v:path/>
                    <v:fill on="f" focussize="0,0"/>
                    <v:stroke on="f"/>
                    <v:imagedata r:id="rId29" embosscolor="#FFFFFF" o:title=""/>
                    <o:lock v:ext="edit" aspectratio="t"/>
                  </v:shape>
                  <v:shape id="1035" o:spid="_x0000_s1033" o:spt="202" type="#_x0000_t202" style="position:absolute;left:-20;top:-20;height:860;width:4912;" filled="f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196" w:line="230" w:lineRule="auto"/>
                            <w:ind w:left="31"/>
                            <w:rPr>
                              <w:rFonts w:ascii="楷体" w:hAnsi="楷体" w:eastAsia="楷体" w:cs="楷体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5"/>
                              <w:sz w:val="35"/>
                              <w:szCs w:val="35"/>
                            </w:rPr>
                            <w:t>2018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-64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5"/>
                              <w:sz w:val="35"/>
                              <w:szCs w:val="35"/>
                            </w:rPr>
                            <w:t>年度部门决算</w:t>
                          </w:r>
                          <w:r>
                            <w:rPr>
                              <w:rFonts w:ascii="MS Gothic" w:hAnsi="MS Gothic" w:eastAsia="MS Gothic" w:cs="MS Gothic"/>
                              <w:color w:val="FDEFBE"/>
                              <w:spacing w:val="5"/>
                              <w:sz w:val="35"/>
                              <w:szCs w:val="35"/>
                            </w:rPr>
                            <w:t>☞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5"/>
                              <w:sz w:val="35"/>
                              <w:szCs w:val="35"/>
                            </w:rPr>
                            <w:t>目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44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5"/>
                              <w:sz w:val="35"/>
                              <w:szCs w:val="35"/>
                            </w:rPr>
                            <w:t>录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0" w:line="608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position w:val="21"/>
          <w:sz w:val="31"/>
          <w:szCs w:val="31"/>
        </w:rPr>
        <w:t>第三部分</w:t>
      </w:r>
      <w:r>
        <w:rPr>
          <w:rFonts w:ascii="SimHei" w:hAnsi="SimHei" w:eastAsia="SimHei" w:cs="SimHei"/>
          <w:spacing w:val="54"/>
          <w:position w:val="21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6"/>
          <w:position w:val="21"/>
          <w:sz w:val="31"/>
          <w:szCs w:val="31"/>
        </w:rPr>
        <w:t>昌黎县城郊区管理委员会</w:t>
      </w:r>
      <w:r>
        <w:rPr>
          <w:rFonts w:ascii="SimHei" w:hAnsi="SimHei" w:eastAsia="SimHei" w:cs="SimHei"/>
          <w:spacing w:val="-66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21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17"/>
          <w:position w:val="21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6"/>
          <w:position w:val="21"/>
          <w:sz w:val="31"/>
          <w:szCs w:val="31"/>
        </w:rPr>
        <w:t>年部门决算情况说</w:t>
      </w:r>
    </w:p>
    <w:p>
      <w:pPr>
        <w:spacing w:line="226" w:lineRule="auto"/>
        <w:ind w:left="145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明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227" w:lineRule="auto"/>
        <w:ind w:left="22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一、收入支出决算总体情况说明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00" w:line="227" w:lineRule="auto"/>
        <w:ind w:left="22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7" w:lineRule="auto"/>
        <w:ind w:left="22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7" w:lineRule="auto"/>
        <w:ind w:left="22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四、财政拨款收入支出决算情况说明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102" w:line="227" w:lineRule="auto"/>
        <w:ind w:left="22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五、一般公共预算财政拨款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经费支出决算情况说明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7" w:lineRule="auto"/>
        <w:ind w:left="22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六、预算绩效情况说明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7" w:lineRule="auto"/>
        <w:ind w:left="22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七、其他重要事项的说明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7" w:lineRule="auto"/>
        <w:ind w:left="206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第四部分</w:t>
      </w:r>
      <w:r>
        <w:rPr>
          <w:rFonts w:ascii="SimHei" w:hAnsi="SimHei" w:eastAsia="SimHei" w:cs="SimHei"/>
          <w:spacing w:val="22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6"/>
          <w:sz w:val="31"/>
          <w:szCs w:val="31"/>
        </w:rPr>
        <w:t>名词解释</w:t>
      </w:r>
    </w:p>
    <w:p>
      <w:pPr>
        <w:spacing w:line="227" w:lineRule="auto"/>
        <w:rPr>
          <w:rFonts w:ascii="SimHei" w:hAnsi="SimHei" w:eastAsia="SimHei" w:cs="SimHei"/>
          <w:sz w:val="31"/>
          <w:szCs w:val="31"/>
        </w:rPr>
        <w:sectPr>
          <w:footerReference r:id="rId6" w:type="default"/>
          <w:pgSz w:w="11906" w:h="16839"/>
          <w:pgMar w:top="1431" w:right="1360" w:bottom="2128" w:left="163" w:header="0" w:footer="1963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pict>
          <v:shape id="1037" o:spid="_x0000_s1034" o:spt="202" type="#_x0000_t202" style="position:absolute;left:0pt;margin-left:73.7pt;margin-top:420.15pt;height:59.35pt;width:432.1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19" w:line="223" w:lineRule="auto"/>
                    <w:ind w:left="20"/>
                    <w:rPr>
                      <w:rFonts w:ascii="SimHei" w:hAnsi="SimHei" w:eastAsia="SimHei" w:cs="SimHei"/>
                      <w:sz w:val="95"/>
                      <w:szCs w:val="95"/>
                    </w:rPr>
                  </w:pPr>
                  <w:r>
                    <w:rPr>
                      <w:rFonts w:ascii="SimHei" w:hAnsi="SimHei" w:eastAsia="SimHei" w:cs="SimHei"/>
                      <w:color w:val="FDEFBE"/>
                      <w:spacing w:val="-3"/>
                      <w:sz w:val="95"/>
                      <w:szCs w:val="95"/>
                    </w:rPr>
                    <w:t>第一部分</w:t>
                  </w:r>
                  <w:r>
                    <w:rPr>
                      <w:rFonts w:ascii="SimHei" w:hAnsi="SimHei" w:eastAsia="SimHei" w:cs="SimHei"/>
                      <w:color w:val="FDEFBE"/>
                      <w:spacing w:val="37"/>
                      <w:sz w:val="95"/>
                      <w:szCs w:val="95"/>
                    </w:rPr>
                    <w:t xml:space="preserve">  </w:t>
                  </w:r>
                  <w:r>
                    <w:rPr>
                      <w:rFonts w:ascii="SimHei" w:hAnsi="SimHei" w:eastAsia="SimHei" w:cs="SimHei"/>
                      <w:color w:val="FDEFBE"/>
                      <w:spacing w:val="-3"/>
                      <w:sz w:val="95"/>
                      <w:szCs w:val="95"/>
                    </w:rPr>
                    <w:t>部门概况</w:t>
                  </w:r>
                </w:p>
              </w:txbxContent>
            </v:textbox>
          </v:shape>
        </w:pic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2" w:line="165" w:lineRule="auto"/>
        <w:ind w:left="5966"/>
        <w:rPr>
          <w:rFonts w:ascii="Cambria" w:hAnsi="Cambria" w:eastAsia="Cambria" w:cs="Cambria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-8825865</wp:posOffset>
            </wp:positionV>
            <wp:extent cx="7543800" cy="10189210"/>
            <wp:effectExtent l="0" t="0" r="0" b="0"/>
            <wp:wrapNone/>
            <wp:docPr id="1038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 2"/>
                    <pic:cNvPicPr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18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eastAsia="Cambria" w:cs="Cambria"/>
          <w:sz w:val="21"/>
          <w:szCs w:val="21"/>
        </w:rPr>
        <w:t>4</w:t>
      </w:r>
    </w:p>
    <w:p>
      <w:pPr>
        <w:spacing w:line="165" w:lineRule="auto"/>
        <w:rPr>
          <w:rFonts w:ascii="Cambria" w:hAnsi="Cambria" w:eastAsia="Cambria" w:cs="Cambria"/>
          <w:sz w:val="21"/>
          <w:szCs w:val="21"/>
        </w:rPr>
        <w:sectPr>
          <w:footerReference r:id="rId7" w:type="default"/>
          <w:pgSz w:w="11906" w:h="16839"/>
          <w:pgMar w:top="748" w:right="25" w:bottom="400" w:left="0" w:header="0" w:footer="0" w:gutter="0"/>
          <w:cols w:space="720" w:num="1"/>
        </w:sectPr>
      </w:pPr>
    </w:p>
    <w:p>
      <w:pPr>
        <w:spacing w:line="164" w:lineRule="exact"/>
      </w:pPr>
    </w:p>
    <w:tbl>
      <w:tblPr>
        <w:tblStyle w:val="4"/>
        <w:tblW w:w="4761" w:type="dxa"/>
        <w:tblInd w:w="2" w:type="dxa"/>
        <w:tblBorders>
          <w:top w:val="single" w:color="845209" w:sz="16" w:space="0"/>
          <w:left w:val="single" w:color="845209" w:sz="2" w:space="0"/>
          <w:bottom w:val="single" w:color="845209" w:sz="16" w:space="0"/>
          <w:right w:val="single" w:color="845209" w:sz="16" w:space="0"/>
          <w:insideH w:val="none" w:color="auto" w:sz="0" w:space="0"/>
          <w:insideV w:val="none" w:color="auto" w:sz="0" w:space="0"/>
        </w:tblBorders>
        <w:shd w:val="clear" w:color="auto" w:fill="D8D8D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1"/>
      </w:tblGrid>
      <w:tr>
        <w:tblPrEx>
          <w:tblBorders>
            <w:top w:val="single" w:color="845209" w:sz="16" w:space="0"/>
            <w:left w:val="single" w:color="845209" w:sz="2" w:space="0"/>
            <w:bottom w:val="single" w:color="845209" w:sz="16" w:space="0"/>
            <w:right w:val="single" w:color="845209" w:sz="16" w:space="0"/>
            <w:insideH w:val="none" w:color="auto" w:sz="0" w:space="0"/>
            <w:insideV w:val="none" w:color="auto" w:sz="0" w:space="0"/>
          </w:tblBorders>
          <w:shd w:val="clear" w:color="auto" w:fill="D8D8D8"/>
        </w:tblPrEx>
        <w:trPr>
          <w:trHeight w:val="709" w:hRule="atLeast"/>
        </w:trPr>
        <w:tc>
          <w:tcPr>
            <w:tcW w:w="4761" w:type="dxa"/>
            <w:shd w:val="clear" w:color="auto" w:fill="D8D8D8"/>
          </w:tcPr>
          <w:p>
            <w:pPr>
              <w:spacing w:line="699" w:lineRule="exact"/>
              <w:textAlignment w:val="center"/>
            </w:pPr>
            <w:r>
              <w:pict>
                <v:group id="1039" o:spid="_x0000_s1035" o:spt="203" style="height:37.95pt;width:238.1pt;" coordsize="4762,759">
                  <o:lock v:ext="edit"/>
                  <v:shape id="1040" o:spid="_x0000_s1036" o:spt="75" type="#_x0000_t75" style="position:absolute;left:0;top:0;height:759;width:4762;" filled="f" stroked="f" coordsize="21600,21600">
                    <v:path/>
                    <v:fill on="f" focussize="0,0"/>
                    <v:stroke on="f"/>
                    <v:imagedata r:id="rId31" embosscolor="#FFFFFF" o:title=""/>
                    <o:lock v:ext="edit" aspectratio="t"/>
                  </v:shape>
                  <v:shape id="1041" o:spid="_x0000_s1037" o:spt="202" type="#_x0000_t202" style="position:absolute;left:-20;top:-20;height:853;width:4802;" filled="f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320" w:line="450" w:lineRule="exact"/>
                            <w:ind w:left="181"/>
                            <w:rPr>
                              <w:rFonts w:ascii="楷体" w:hAnsi="楷体" w:eastAsia="楷体" w:cs="楷体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position w:val="3"/>
                              <w:sz w:val="31"/>
                              <w:szCs w:val="31"/>
                            </w:rPr>
                            <w:t>2018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-51"/>
                              <w:position w:val="3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position w:val="3"/>
                              <w:sz w:val="31"/>
                              <w:szCs w:val="31"/>
                            </w:rPr>
                            <w:t>年度部门决算</w:t>
                          </w:r>
                          <w:r>
                            <w:rPr>
                              <w:rFonts w:ascii="MS Gothic" w:hAnsi="MS Gothic" w:eastAsia="MS Gothic" w:cs="MS Gothic"/>
                              <w:color w:val="FDEFBE"/>
                              <w:spacing w:val="7"/>
                              <w:position w:val="3"/>
                              <w:sz w:val="31"/>
                              <w:szCs w:val="31"/>
                            </w:rPr>
                            <w:t>☞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position w:val="3"/>
                              <w:sz w:val="31"/>
                              <w:szCs w:val="31"/>
                            </w:rPr>
                            <w:t>部门概况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22" w:lineRule="auto"/>
        <w:ind w:left="1456" w:firstLine="625"/>
        <w:rPr>
          <w:rFonts w:ascii="仿宋" w:hAnsi="仿宋" w:eastAsia="仿宋" w:cs="仿宋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>概况：</w:t>
      </w:r>
      <w:r>
        <w:rPr>
          <w:rFonts w:ascii="仿宋" w:hAnsi="仿宋" w:eastAsia="仿宋" w:cs="仿宋"/>
          <w:spacing w:val="9"/>
          <w:sz w:val="31"/>
          <w:szCs w:val="31"/>
        </w:rPr>
        <w:t>我单位系隶属于昌黎县人民政府管理的行政单位，主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要负责管理本行政区域内的经济、教育、文化、卫生等建设事业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和财政、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民政、计划生育等行政工作。我区共辖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28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个行政村，全</w:t>
      </w:r>
    </w:p>
    <w:p>
      <w:pPr>
        <w:spacing w:line="228" w:lineRule="auto"/>
        <w:ind w:left="14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区总人口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万人，耕地面积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4.05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万亩。</w:t>
      </w:r>
    </w:p>
    <w:p>
      <w:pPr>
        <w:spacing w:before="156" w:line="226" w:lineRule="auto"/>
        <w:ind w:left="145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一、部门职责</w:t>
      </w:r>
    </w:p>
    <w:p>
      <w:pPr>
        <w:spacing w:before="158" w:line="322" w:lineRule="auto"/>
        <w:ind w:left="1445" w:right="170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宣传、贯彻执行党的路线、方针、政策和国家的法律法规，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执行上级国家行政机关的决定和命令，把主要精力放在促进经济</w:t>
      </w:r>
    </w:p>
    <w:p>
      <w:pPr>
        <w:spacing w:before="2" w:line="224" w:lineRule="auto"/>
        <w:ind w:left="14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发展、加强社会管理、提供公共服务和维护农村稳定上来。</w:t>
      </w:r>
    </w:p>
    <w:p>
      <w:pPr>
        <w:spacing w:before="158" w:line="322" w:lineRule="auto"/>
        <w:ind w:left="1456" w:right="160" w:firstLine="65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（一）促进经济发展。</w:t>
      </w:r>
      <w:r>
        <w:rPr>
          <w:rFonts w:ascii="仿宋" w:hAnsi="仿宋" w:eastAsia="仿宋" w:cs="仿宋"/>
          <w:spacing w:val="8"/>
          <w:sz w:val="31"/>
          <w:szCs w:val="31"/>
        </w:rPr>
        <w:t>科学制定本区产业发展规划，谋划适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应本区实际的经济发展模式；指导产业结构调整，根据本区的特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点和实际，不断优化基础产业，积极发展新兴产业，形成地域产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业特色；营造良好的政策、硬件、社会等投资环境，促进招商引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资和项目建设；健全农业社会化服务体系，完善农业支持保护体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系，加强农业新技术的示范和推广，促进农业生产稳定发展，农</w:t>
      </w:r>
    </w:p>
    <w:p>
      <w:pPr>
        <w:spacing w:before="1" w:line="225" w:lineRule="auto"/>
        <w:ind w:left="14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民持续增收；大力发展民营经济，推动和引导农村经济合作组</w:t>
      </w:r>
    </w:p>
    <w:p>
      <w:pPr>
        <w:spacing w:before="160" w:line="322" w:lineRule="auto"/>
        <w:ind w:left="1469" w:right="161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织、经济实体、行业协会和中介组织的建立和发展，壮大第二、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第三产业，提高农民的自我发展能力；加强信息服务，及时为农</w:t>
      </w:r>
    </w:p>
    <w:p>
      <w:pPr>
        <w:spacing w:line="227" w:lineRule="auto"/>
        <w:ind w:left="14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民提供产、供、销等市场信息。</w:t>
      </w:r>
    </w:p>
    <w:p>
      <w:pPr>
        <w:spacing w:before="158" w:line="229" w:lineRule="auto"/>
        <w:ind w:left="211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（二）加强社会管理。</w:t>
      </w:r>
      <w:r>
        <w:rPr>
          <w:rFonts w:ascii="仿宋" w:hAnsi="仿宋" w:eastAsia="仿宋" w:cs="仿宋"/>
          <w:spacing w:val="8"/>
          <w:sz w:val="31"/>
          <w:szCs w:val="31"/>
        </w:rPr>
        <w:t>组织、监督国家基本公共政策的实</w:t>
      </w:r>
    </w:p>
    <w:p>
      <w:pPr>
        <w:spacing w:before="156" w:line="540" w:lineRule="exact"/>
        <w:ind w:left="14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6"/>
          <w:sz w:val="31"/>
          <w:szCs w:val="31"/>
        </w:rPr>
        <w:t>施，加强义务教育、公共卫生、计划生育、文化科技、乡村建设</w:t>
      </w:r>
    </w:p>
    <w:p>
      <w:pPr>
        <w:spacing w:before="1" w:line="226" w:lineRule="auto"/>
        <w:ind w:left="14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等社会事务的行政管理；依法行政，保障公民享</w:t>
      </w:r>
      <w:r>
        <w:rPr>
          <w:rFonts w:ascii="仿宋" w:hAnsi="仿宋" w:eastAsia="仿宋" w:cs="仿宋"/>
          <w:spacing w:val="8"/>
          <w:sz w:val="31"/>
          <w:szCs w:val="31"/>
        </w:rPr>
        <w:t>有宪法规定的政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68" w:line="166" w:lineRule="auto"/>
        <w:ind w:left="580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line="166" w:lineRule="auto"/>
        <w:rPr>
          <w:rFonts w:ascii="宋体" w:hAnsi="宋体" w:eastAsia="宋体" w:cs="宋体"/>
          <w:sz w:val="21"/>
          <w:szCs w:val="21"/>
        </w:rPr>
        <w:sectPr>
          <w:pgSz w:w="11906" w:h="16839"/>
          <w:pgMar w:top="1335" w:right="1187" w:bottom="400" w:left="163" w:header="0" w:footer="0" w:gutter="0"/>
          <w:cols w:space="720" w:num="1"/>
        </w:sectPr>
      </w:pPr>
    </w:p>
    <w:p>
      <w:pPr>
        <w:spacing w:before="63" w:line="322" w:lineRule="auto"/>
        <w:ind w:left="15" w:right="160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治、经济、文化等各项权利；抓好农村党组织建设，农村党员的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发展和管理，党员干部队伍思想作风建设等；抓好村</w:t>
      </w:r>
      <w:r>
        <w:rPr>
          <w:rFonts w:ascii="仿宋" w:hAnsi="仿宋" w:eastAsia="仿宋" w:cs="仿宋"/>
          <w:spacing w:val="8"/>
          <w:sz w:val="31"/>
          <w:szCs w:val="31"/>
        </w:rPr>
        <w:t>委会班子建</w:t>
      </w:r>
    </w:p>
    <w:p>
      <w:pPr>
        <w:spacing w:before="1" w:line="224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设和民主集中制建设，促进村民自治，落实公民在选举</w:t>
      </w:r>
      <w:r>
        <w:rPr>
          <w:rFonts w:ascii="仿宋" w:hAnsi="仿宋" w:eastAsia="仿宋" w:cs="仿宋"/>
          <w:spacing w:val="8"/>
          <w:sz w:val="31"/>
          <w:szCs w:val="31"/>
        </w:rPr>
        <w:t>、决策、</w:t>
      </w:r>
    </w:p>
    <w:p>
      <w:pPr>
        <w:spacing w:before="162" w:line="54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6"/>
          <w:sz w:val="31"/>
          <w:szCs w:val="31"/>
        </w:rPr>
        <w:t>管理和监督等方面的民主权利·;</w:t>
      </w:r>
      <w:r>
        <w:rPr>
          <w:rFonts w:ascii="仿宋" w:hAnsi="仿宋" w:eastAsia="仿宋" w:cs="仿宋"/>
          <w:spacing w:val="32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6"/>
          <w:sz w:val="31"/>
          <w:szCs w:val="31"/>
        </w:rPr>
        <w:t>抓好农村思想建设，加强农村思</w:t>
      </w:r>
    </w:p>
    <w:p>
      <w:pPr>
        <w:spacing w:before="1" w:line="225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想政治工作和社会主义精神文明建设，倡导乡村社会文明新风；</w:t>
      </w:r>
    </w:p>
    <w:p>
      <w:pPr>
        <w:spacing w:before="160" w:line="228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加强安全生产和公共安全，组织抢险救灾、防洪抗旱、优抚救</w:t>
      </w:r>
    </w:p>
    <w:p>
      <w:pPr>
        <w:spacing w:before="156" w:line="322" w:lineRule="auto"/>
        <w:ind w:left="8" w:right="160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助，及时上报和处理重大社情、疫情、险情，保障人民群众的生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命财产安全；制定生态文明村建设和构建和谐社会的相关措施并</w:t>
      </w:r>
    </w:p>
    <w:p>
      <w:pPr>
        <w:spacing w:before="2" w:line="227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抓好组织实施。</w:t>
      </w:r>
    </w:p>
    <w:p>
      <w:pPr>
        <w:spacing w:before="151" w:line="322" w:lineRule="auto"/>
        <w:ind w:right="46" w:firstLine="65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（三）提供公共服务。</w:t>
      </w:r>
      <w:r>
        <w:rPr>
          <w:rFonts w:ascii="仿宋" w:hAnsi="仿宋" w:eastAsia="仿宋" w:cs="仿宋"/>
          <w:spacing w:val="8"/>
          <w:sz w:val="31"/>
          <w:szCs w:val="31"/>
        </w:rPr>
        <w:t>1、生产保障。提供水利灌溉、道路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运输、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电力供应、农技推广、病虫害防治等生产性公共产品；2、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教育保障。协助教育部门普及九年义务制教育，加强对农村劳动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力的职业培训，提高农民的科学文化素质和就业本领；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3、医疗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保障。农村医疗设施、医疗手段的完善和提高，农村医疗保险制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度的建立和落实；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4、养老保障。福利院、敬老院的建设，农村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养老保险制度的推行；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5、生活保障。建设乡村社会各种生活基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础设施，建立农村特困户的救助制度和救助</w:t>
      </w:r>
      <w:r>
        <w:rPr>
          <w:rFonts w:ascii="仿宋" w:hAnsi="仿宋" w:eastAsia="仿宋" w:cs="仿宋"/>
          <w:spacing w:val="7"/>
          <w:sz w:val="31"/>
          <w:szCs w:val="31"/>
        </w:rPr>
        <w:t>体系；6、生育保障。</w:t>
      </w:r>
    </w:p>
    <w:p>
      <w:pPr>
        <w:spacing w:before="1" w:line="226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为控制人口数量、提高人口素质和生殖健康提供各种优质服务。</w:t>
      </w:r>
    </w:p>
    <w:p>
      <w:pPr>
        <w:spacing w:before="156" w:line="322" w:lineRule="auto"/>
        <w:ind w:left="7" w:right="160" w:firstLine="64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（四）维护农村稳定。</w:t>
      </w:r>
      <w:r>
        <w:rPr>
          <w:rFonts w:ascii="仿宋" w:hAnsi="仿宋" w:eastAsia="仿宋" w:cs="仿宋"/>
          <w:spacing w:val="8"/>
          <w:sz w:val="31"/>
          <w:szCs w:val="31"/>
        </w:rPr>
        <w:t>贯彻执行国家的法律法规和上级关于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社会治安综合治理的政策措施，制定本区社会治安综合治理计划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并组织实施；加强普法宣传，教育农民知法、懂法、守法，增强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农民法律意识；调节民事纠纷，化解社会矛盾，接待群众上访，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妥善处理突发性、群体性事件；组织开展各种形式的治安防范活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动，建立健全群防群治网络，及时掌握社会治安动态，消除治安</w:t>
      </w:r>
    </w:p>
    <w:p>
      <w:pPr>
        <w:spacing w:before="1" w:line="224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隐患；保证社会公正，维护社会秩序和社会</w:t>
      </w:r>
      <w:r>
        <w:rPr>
          <w:rFonts w:ascii="仿宋" w:hAnsi="仿宋" w:eastAsia="仿宋" w:cs="仿宋"/>
          <w:spacing w:val="7"/>
          <w:sz w:val="31"/>
          <w:szCs w:val="31"/>
        </w:rPr>
        <w:t>稳定。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096" w:right="1187" w:bottom="2128" w:left="1612" w:header="0" w:footer="1963" w:gutter="0"/>
          <w:cols w:space="720" w:num="1"/>
        </w:sectPr>
      </w:pPr>
    </w:p>
    <w:p>
      <w:pPr>
        <w:spacing w:before="270" w:line="227" w:lineRule="auto"/>
        <w:ind w:left="1305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二、机构设置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53" w:lineRule="auto"/>
        <w:ind w:left="982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从决算编报单位构成看，纳入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2018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年度本部门决算汇编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范围的独立核算单位（以下简称“单位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”）共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个，具体情况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如下：</w:t>
      </w:r>
    </w:p>
    <w:p>
      <w:pPr>
        <w:spacing w:line="18" w:lineRule="exact"/>
      </w:pPr>
    </w:p>
    <w:tbl>
      <w:tblPr>
        <w:tblStyle w:val="4"/>
        <w:tblW w:w="9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877"/>
        <w:gridCol w:w="2670"/>
        <w:gridCol w:w="24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0" w:hRule="atLeast"/>
        </w:trPr>
        <w:tc>
          <w:tcPr>
            <w:tcW w:w="1595" w:type="dxa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5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2877" w:type="dxa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8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单位名称</w:t>
            </w:r>
          </w:p>
        </w:tc>
        <w:tc>
          <w:tcPr>
            <w:tcW w:w="2670" w:type="dxa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5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单位基本性质</w:t>
            </w:r>
          </w:p>
        </w:tc>
        <w:tc>
          <w:tcPr>
            <w:tcW w:w="2442" w:type="dxa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6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经费形式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595" w:type="dxa"/>
          </w:tcPr>
          <w:p>
            <w:pPr>
              <w:spacing w:before="256" w:line="181" w:lineRule="auto"/>
              <w:ind w:left="7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>
            <w:pPr>
              <w:spacing w:before="208" w:line="559" w:lineRule="exact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position w:val="21"/>
                <w:sz w:val="28"/>
                <w:szCs w:val="28"/>
              </w:rPr>
              <w:t>昌黎县城郊区管理委</w:t>
            </w:r>
          </w:p>
          <w:p>
            <w:pPr>
              <w:spacing w:before="1" w:line="222" w:lineRule="auto"/>
              <w:ind w:left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员会(本级)</w:t>
            </w:r>
          </w:p>
        </w:tc>
        <w:tc>
          <w:tcPr>
            <w:tcW w:w="2670" w:type="dxa"/>
          </w:tcPr>
          <w:p>
            <w:pPr>
              <w:spacing w:before="207" w:line="222" w:lineRule="auto"/>
              <w:ind w:left="7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行政单位</w:t>
            </w:r>
          </w:p>
        </w:tc>
        <w:tc>
          <w:tcPr>
            <w:tcW w:w="2442" w:type="dxa"/>
          </w:tcPr>
          <w:p>
            <w:pPr>
              <w:spacing w:before="207" w:line="224" w:lineRule="auto"/>
              <w:ind w:left="6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财政拨款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5" w:type="dxa"/>
          </w:tcPr>
          <w:p>
            <w:pPr>
              <w:spacing w:before="258" w:line="181" w:lineRule="auto"/>
              <w:ind w:left="7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5" w:type="dxa"/>
          </w:tcPr>
          <w:p>
            <w:pPr>
              <w:spacing w:before="258" w:line="181" w:lineRule="auto"/>
              <w:ind w:left="7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877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5" w:hRule="atLeast"/>
        </w:trPr>
        <w:tc>
          <w:tcPr>
            <w:tcW w:w="1595" w:type="dxa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94" w:line="103" w:lineRule="exact"/>
              <w:ind w:left="618"/>
              <w:rPr>
                <w:rFonts w:ascii="Cambria" w:hAnsi="Cambria" w:eastAsia="Cambria" w:cs="Cambria"/>
                <w:sz w:val="32"/>
                <w:szCs w:val="32"/>
              </w:rPr>
            </w:pPr>
            <w:r>
              <w:rPr>
                <w:rFonts w:ascii="Cambria" w:hAnsi="Cambria" w:eastAsia="Cambria" w:cs="Cambria"/>
                <w:spacing w:val="-15"/>
                <w:position w:val="1"/>
                <w:sz w:val="32"/>
                <w:szCs w:val="32"/>
              </w:rPr>
              <w:t>……</w:t>
            </w:r>
          </w:p>
        </w:tc>
        <w:tc>
          <w:tcPr>
            <w:tcW w:w="2877" w:type="dxa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94" w:line="103" w:lineRule="exact"/>
              <w:ind w:left="137"/>
              <w:rPr>
                <w:rFonts w:ascii="Cambria" w:hAnsi="Cambria" w:eastAsia="Cambria" w:cs="Cambria"/>
                <w:sz w:val="32"/>
                <w:szCs w:val="32"/>
              </w:rPr>
            </w:pPr>
            <w:r>
              <w:rPr>
                <w:rFonts w:ascii="Cambria" w:hAnsi="Cambria" w:eastAsia="Cambria" w:cs="Cambria"/>
                <w:spacing w:val="-25"/>
                <w:position w:val="1"/>
                <w:sz w:val="32"/>
                <w:szCs w:val="32"/>
              </w:rPr>
              <w:t>……………</w:t>
            </w:r>
          </w:p>
        </w:tc>
        <w:tc>
          <w:tcPr>
            <w:tcW w:w="2670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226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我单位为一级预算单位。无独立核算下属单位。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279" w:bottom="2126" w:left="949" w:header="0" w:footer="1963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pict>
          <v:shape id="1043" o:spid="_x0000_s1038" o:spt="202" type="#_x0000_t202" style="position:absolute;left:0pt;margin-left:54.85pt;margin-top:339.75pt;height:127.45pt;width:492.5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17" w:line="224" w:lineRule="auto"/>
                    <w:ind w:left="3027"/>
                    <w:rPr>
                      <w:rFonts w:ascii="SimHei" w:hAnsi="SimHei" w:eastAsia="SimHei" w:cs="SimHei"/>
                      <w:sz w:val="95"/>
                      <w:szCs w:val="95"/>
                    </w:rPr>
                  </w:pPr>
                  <w:r>
                    <w:rPr>
                      <w:rFonts w:ascii="SimHei" w:hAnsi="SimHei" w:eastAsia="SimHei" w:cs="SimHei"/>
                      <w:color w:val="FDEFBE"/>
                      <w:sz w:val="95"/>
                      <w:szCs w:val="95"/>
                    </w:rPr>
                    <w:t>第二部分</w:t>
                  </w:r>
                </w:p>
                <w:p>
                  <w:pPr>
                    <w:spacing w:before="205" w:line="224" w:lineRule="auto"/>
                    <w:ind w:left="20"/>
                    <w:rPr>
                      <w:rFonts w:ascii="SimHei" w:hAnsi="SimHei" w:eastAsia="SimHei" w:cs="SimHei"/>
                      <w:sz w:val="95"/>
                      <w:szCs w:val="95"/>
                    </w:rPr>
                  </w:pPr>
                  <w:r>
                    <w:rPr>
                      <w:rFonts w:ascii="SimHei" w:hAnsi="SimHei" w:eastAsia="SimHei" w:cs="SimHei"/>
                      <w:color w:val="FDEFBE"/>
                      <w:spacing w:val="2"/>
                      <w:sz w:val="95"/>
                      <w:szCs w:val="95"/>
                    </w:rPr>
                    <w:t>2018</w:t>
                  </w:r>
                  <w:r>
                    <w:rPr>
                      <w:rFonts w:ascii="SimHei" w:hAnsi="SimHei" w:eastAsia="SimHei" w:cs="SimHei"/>
                      <w:color w:val="FDEFBE"/>
                      <w:spacing w:val="-190"/>
                      <w:sz w:val="95"/>
                      <w:szCs w:val="95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color w:val="FDEFBE"/>
                      <w:spacing w:val="2"/>
                      <w:sz w:val="95"/>
                      <w:szCs w:val="95"/>
                    </w:rPr>
                    <w:t>年度部门决算报表</w:t>
                  </w:r>
                </w:p>
              </w:txbxContent>
            </v:textbox>
          </v:shape>
        </w:pic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165" w:lineRule="auto"/>
        <w:ind w:left="5968"/>
        <w:rPr>
          <w:rFonts w:ascii="Cambria" w:hAnsi="Cambria" w:eastAsia="Cambria" w:cs="Cambria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-9295130</wp:posOffset>
            </wp:positionV>
            <wp:extent cx="7540625" cy="10659110"/>
            <wp:effectExtent l="0" t="0" r="0" b="0"/>
            <wp:wrapNone/>
            <wp:docPr id="104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 3"/>
                    <pic:cNvPicPr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658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eastAsia="Cambria" w:cs="Cambria"/>
          <w:sz w:val="21"/>
          <w:szCs w:val="21"/>
        </w:rPr>
        <w:t>8</w:t>
      </w:r>
    </w:p>
    <w:p>
      <w:pPr>
        <w:spacing w:line="165" w:lineRule="auto"/>
        <w:rPr>
          <w:rFonts w:ascii="Cambria" w:hAnsi="Cambria" w:eastAsia="Cambria" w:cs="Cambria"/>
          <w:sz w:val="21"/>
          <w:szCs w:val="21"/>
        </w:rPr>
        <w:sectPr>
          <w:footerReference r:id="rId10" w:type="default"/>
          <w:pgSz w:w="11906" w:h="16839"/>
          <w:pgMar w:top="9" w:right="30" w:bottom="400" w:left="0" w:header="0" w:footer="0" w:gutter="0"/>
          <w:cols w:space="720" w:num="1"/>
        </w:sectPr>
      </w:pPr>
    </w:p>
    <w:p>
      <w:pPr>
        <w:spacing w:line="175" w:lineRule="exact"/>
      </w:pPr>
    </w:p>
    <w:tbl>
      <w:tblPr>
        <w:tblStyle w:val="4"/>
        <w:tblW w:w="5354" w:type="dxa"/>
        <w:tblInd w:w="20" w:type="dxa"/>
        <w:tblBorders>
          <w:top w:val="single" w:color="845209" w:sz="16" w:space="0"/>
          <w:left w:val="single" w:color="845209" w:sz="16" w:space="0"/>
          <w:bottom w:val="single" w:color="845209" w:sz="16" w:space="0"/>
          <w:right w:val="single" w:color="845209" w:sz="16" w:space="0"/>
          <w:insideH w:val="none" w:color="auto" w:sz="0" w:space="0"/>
          <w:insideV w:val="none" w:color="auto" w:sz="0" w:space="0"/>
        </w:tblBorders>
        <w:shd w:val="clear" w:color="auto" w:fill="D8D8D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4"/>
      </w:tblGrid>
      <w:tr>
        <w:tblPrEx>
          <w:tblBorders>
            <w:top w:val="single" w:color="845209" w:sz="16" w:space="0"/>
            <w:left w:val="single" w:color="845209" w:sz="16" w:space="0"/>
            <w:bottom w:val="single" w:color="845209" w:sz="16" w:space="0"/>
            <w:right w:val="single" w:color="845209" w:sz="16" w:space="0"/>
            <w:insideH w:val="none" w:color="auto" w:sz="0" w:space="0"/>
            <w:insideV w:val="none" w:color="auto" w:sz="0" w:space="0"/>
          </w:tblBorders>
          <w:shd w:val="clear" w:color="auto" w:fill="D8D8D8"/>
        </w:tblPrEx>
        <w:trPr>
          <w:trHeight w:val="665" w:hRule="atLeast"/>
        </w:trPr>
        <w:tc>
          <w:tcPr>
            <w:tcW w:w="5354" w:type="dxa"/>
            <w:shd w:val="clear" w:color="auto" w:fill="D8D8D8"/>
          </w:tcPr>
          <w:p>
            <w:pPr>
              <w:spacing w:line="655" w:lineRule="exact"/>
              <w:textAlignment w:val="center"/>
            </w:pPr>
            <w:r>
              <w:pict>
                <v:group id="1045" o:spid="_x0000_s1039" o:spt="203" style="height:35.8pt;width:268.35pt;" coordsize="5367,715">
                  <o:lock v:ext="edit"/>
                  <v:shape id="1046" o:spid="_x0000_s1040" o:spt="75" type="#_x0000_t75" style="position:absolute;left:0;top:0;height:715;width:5367;" filled="f" stroked="f" coordsize="21600,21600">
                    <v:path/>
                    <v:fill on="f" focussize="0,0"/>
                    <v:stroke on="f"/>
                    <v:imagedata r:id="rId33" embosscolor="#FFFFFF" o:title=""/>
                    <o:lock v:ext="edit" aspectratio="t"/>
                  </v:shape>
                  <v:shape id="1047" o:spid="_x0000_s1041" o:spt="202" type="#_x0000_t202" style="position:absolute;left:-20;top:-20;height:809;width:5407;" filled="f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29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101" w:line="230" w:lineRule="auto"/>
                            <w:ind w:left="202"/>
                            <w:rPr>
                              <w:rFonts w:ascii="楷体" w:hAnsi="楷体" w:eastAsia="楷体" w:cs="楷体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sz w:val="31"/>
                              <w:szCs w:val="31"/>
                            </w:rPr>
                            <w:t>2018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-56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sz w:val="31"/>
                              <w:szCs w:val="31"/>
                            </w:rPr>
                            <w:t>年度部门决算</w:t>
                          </w:r>
                          <w:r>
                            <w:rPr>
                              <w:rFonts w:ascii="MS Gothic" w:hAnsi="MS Gothic" w:eastAsia="MS Gothic" w:cs="MS Gothic"/>
                              <w:color w:val="FDEFBE"/>
                              <w:spacing w:val="7"/>
                              <w:sz w:val="31"/>
                              <w:szCs w:val="31"/>
                            </w:rPr>
                            <w:t>☞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sz w:val="31"/>
                              <w:szCs w:val="31"/>
                            </w:rPr>
                            <w:t>部门决算报表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0" w:line="56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详见：</w:t>
      </w:r>
      <w:r>
        <w:rPr>
          <w:rFonts w:ascii="仿宋" w:hAnsi="仿宋" w:eastAsia="仿宋" w:cs="仿宋"/>
          <w:spacing w:val="-67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31"/>
          <w:szCs w:val="31"/>
        </w:rPr>
        <w:t>昌黎县城郊区管理委员会</w:t>
      </w:r>
      <w:r>
        <w:rPr>
          <w:rFonts w:ascii="仿宋" w:hAnsi="仿宋" w:eastAsia="仿宋" w:cs="仿宋"/>
          <w:spacing w:val="-58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31"/>
          <w:szCs w:val="31"/>
        </w:rPr>
        <w:t>年度部门决算公开报表（10</w:t>
      </w:r>
    </w:p>
    <w:p>
      <w:pPr>
        <w:spacing w:line="228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张）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61" w:line="143" w:lineRule="exact"/>
        <w:ind w:left="4998"/>
        <w:rPr>
          <w:rFonts w:ascii="Cambria" w:hAnsi="Cambria" w:eastAsia="Cambria" w:cs="Cambria"/>
          <w:sz w:val="21"/>
          <w:szCs w:val="21"/>
        </w:rPr>
      </w:pPr>
      <w:r>
        <w:rPr>
          <w:rFonts w:ascii="Cambria" w:hAnsi="Cambria" w:eastAsia="Cambria" w:cs="Cambria"/>
          <w:spacing w:val="14"/>
          <w:w w:val="151"/>
          <w:position w:val="5"/>
          <w:sz w:val="21"/>
          <w:szCs w:val="21"/>
        </w:rPr>
        <w:t>,</w:t>
      </w:r>
    </w:p>
    <w:p>
      <w:pPr>
        <w:spacing w:line="143" w:lineRule="exact"/>
        <w:rPr>
          <w:rFonts w:ascii="Cambria" w:hAnsi="Cambria" w:eastAsia="Cambria" w:cs="Cambria"/>
          <w:sz w:val="21"/>
          <w:szCs w:val="21"/>
        </w:rPr>
        <w:sectPr>
          <w:pgSz w:w="11906" w:h="16839"/>
          <w:pgMar w:top="565" w:right="1196" w:bottom="400" w:left="969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pict>
          <v:shape id="1049" o:spid="_x0000_s1042" o:spt="202" type="#_x0000_t202" style="position:absolute;left:0pt;margin-left:108.8pt;margin-top:354.3pt;height:127.4pt;width:383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17" w:line="224" w:lineRule="auto"/>
                    <w:ind w:left="1916"/>
                    <w:rPr>
                      <w:rFonts w:ascii="SimHei" w:hAnsi="SimHei" w:eastAsia="SimHei" w:cs="SimHei"/>
                      <w:sz w:val="95"/>
                      <w:szCs w:val="95"/>
                    </w:rPr>
                  </w:pPr>
                  <w:r>
                    <w:rPr>
                      <w:rFonts w:ascii="SimHei" w:hAnsi="SimHei" w:eastAsia="SimHei" w:cs="SimHei"/>
                      <w:color w:val="FDEFBE"/>
                      <w:sz w:val="95"/>
                      <w:szCs w:val="95"/>
                    </w:rPr>
                    <w:t>第三部分</w:t>
                  </w:r>
                </w:p>
                <w:p>
                  <w:pPr>
                    <w:spacing w:before="209" w:line="223" w:lineRule="auto"/>
                    <w:ind w:left="20"/>
                    <w:rPr>
                      <w:rFonts w:ascii="SimHei" w:hAnsi="SimHei" w:eastAsia="SimHei" w:cs="SimHei"/>
                      <w:sz w:val="95"/>
                      <w:szCs w:val="95"/>
                    </w:rPr>
                  </w:pPr>
                  <w:r>
                    <w:rPr>
                      <w:rFonts w:ascii="SimHei" w:hAnsi="SimHei" w:eastAsia="SimHei" w:cs="SimHei"/>
                      <w:color w:val="FDEFBE"/>
                      <w:spacing w:val="2"/>
                      <w:sz w:val="95"/>
                      <w:szCs w:val="95"/>
                    </w:rPr>
                    <w:t>部门决算情况说明</w:t>
                  </w:r>
                </w:p>
              </w:txbxContent>
            </v:textbox>
          </v:shape>
        </w:pic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2" w:line="165" w:lineRule="auto"/>
        <w:ind w:left="5924"/>
        <w:rPr>
          <w:rFonts w:ascii="Cambria" w:hAnsi="Cambria" w:eastAsia="Cambria" w:cs="Cambria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-9300845</wp:posOffset>
            </wp:positionV>
            <wp:extent cx="7543800" cy="10664825"/>
            <wp:effectExtent l="0" t="0" r="0" b="0"/>
            <wp:wrapNone/>
            <wp:docPr id="1050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 4"/>
                    <pic:cNvPicPr/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eastAsia="Cambria" w:cs="Cambria"/>
          <w:spacing w:val="-17"/>
          <w:sz w:val="21"/>
          <w:szCs w:val="21"/>
        </w:rPr>
        <w:t>10</w:t>
      </w:r>
    </w:p>
    <w:p>
      <w:pPr>
        <w:spacing w:line="165" w:lineRule="auto"/>
        <w:rPr>
          <w:rFonts w:ascii="Cambria" w:hAnsi="Cambria" w:eastAsia="Cambria" w:cs="Cambria"/>
          <w:sz w:val="21"/>
          <w:szCs w:val="21"/>
        </w:rPr>
        <w:sectPr>
          <w:pgSz w:w="11906" w:h="16839"/>
          <w:pgMar w:top="0" w:right="25" w:bottom="400" w:left="0" w:header="0" w:footer="0" w:gutter="0"/>
          <w:cols w:space="720" w:num="1"/>
        </w:sectPr>
      </w:pPr>
    </w:p>
    <w:tbl>
      <w:tblPr>
        <w:tblStyle w:val="4"/>
        <w:tblW w:w="5993" w:type="dxa"/>
        <w:tblInd w:w="12" w:type="dxa"/>
        <w:tblBorders>
          <w:top w:val="single" w:color="845209" w:sz="16" w:space="0"/>
          <w:left w:val="single" w:color="845209" w:sz="10" w:space="0"/>
          <w:bottom w:val="single" w:color="845209" w:sz="16" w:space="0"/>
          <w:right w:val="single" w:color="845209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3"/>
      </w:tblGrid>
      <w:tr>
        <w:tblPrEx>
          <w:tblBorders>
            <w:top w:val="single" w:color="845209" w:sz="16" w:space="0"/>
            <w:left w:val="single" w:color="845209" w:sz="10" w:space="0"/>
            <w:bottom w:val="single" w:color="845209" w:sz="16" w:space="0"/>
            <w:right w:val="single" w:color="845209" w:sz="16" w:space="0"/>
            <w:insideH w:val="none" w:color="auto" w:sz="0" w:space="0"/>
            <w:insideV w:val="none" w:color="auto" w:sz="0" w:space="0"/>
          </w:tblBorders>
        </w:tblPrEx>
        <w:trPr>
          <w:trHeight w:val="819" w:hRule="atLeast"/>
        </w:trPr>
        <w:tc>
          <w:tcPr>
            <w:tcW w:w="5993" w:type="dxa"/>
            <w:shd w:val="clear" w:color="auto" w:fill="D8D8D8"/>
          </w:tcPr>
          <w:p>
            <w:pPr>
              <w:spacing w:before="120" w:line="689" w:lineRule="exact"/>
              <w:textAlignment w:val="center"/>
            </w:pPr>
            <w:r>
              <w:pict>
                <v:group id="1051" o:spid="_x0000_s1043" o:spt="203" style="height:35.85pt;width:294.25pt;" coordsize="5885,716">
                  <o:lock v:ext="edit"/>
                  <v:shape id="1052" o:spid="_x0000_s1044" o:spt="75" type="#_x0000_t75" style="position:absolute;left:0;top:0;height:715;width:5885;" filled="f" stroked="f" coordsize="21600,21600">
                    <v:path/>
                    <v:fill on="f" focussize="0,0"/>
                    <v:stroke on="f"/>
                    <v:imagedata r:id="rId35" embosscolor="#FFFFFF" o:title=""/>
                    <o:lock v:ext="edit" aspectratio="t"/>
                  </v:shape>
                  <v:shape id="1053" o:spid="_x0000_s1045" o:spt="202" type="#_x0000_t202" style="position:absolute;left:-20;top:-20;height:810;width:5925;" filled="f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301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101" w:line="230" w:lineRule="auto"/>
                            <w:ind w:left="185"/>
                            <w:rPr>
                              <w:rFonts w:ascii="楷体" w:hAnsi="楷体" w:eastAsia="楷体" w:cs="楷体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sz w:val="31"/>
                              <w:szCs w:val="31"/>
                            </w:rPr>
                            <w:t>2018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-52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sz w:val="31"/>
                              <w:szCs w:val="31"/>
                            </w:rPr>
                            <w:t>年度部门决算</w:t>
                          </w:r>
                          <w:r>
                            <w:rPr>
                              <w:rFonts w:ascii="MS Gothic" w:hAnsi="MS Gothic" w:eastAsia="MS Gothic" w:cs="MS Gothic"/>
                              <w:color w:val="FDEFBE"/>
                              <w:spacing w:val="7"/>
                              <w:sz w:val="31"/>
                              <w:szCs w:val="31"/>
                            </w:rPr>
                            <w:t>☞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sz w:val="31"/>
                              <w:szCs w:val="31"/>
                            </w:rPr>
                            <w:t>部门决算情况说明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6" w:lineRule="auto"/>
        <w:ind w:left="223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一、收入支出决算总体情况说明</w:t>
      </w:r>
    </w:p>
    <w:p>
      <w:pPr>
        <w:spacing w:before="330" w:line="224" w:lineRule="auto"/>
        <w:ind w:left="229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本部门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年度收支总计（含结转结余）2126.81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万元。与</w:t>
      </w:r>
    </w:p>
    <w:p>
      <w:pPr>
        <w:spacing w:before="204" w:line="316" w:lineRule="auto"/>
        <w:ind w:left="1652" w:right="375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2017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年度决算相比，收支各增加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110.65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2.8%，主要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原因是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2018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年项目收入与支出资金较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2017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年项目收入与支出资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金增加，人员工资政策调整，工资福利资金增加以及临时追加项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目等。</w:t>
      </w:r>
    </w:p>
    <w:p>
      <w:pPr>
        <w:spacing w:before="174" w:line="226" w:lineRule="auto"/>
        <w:ind w:left="223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二、收入决算情况说明</w:t>
      </w:r>
    </w:p>
    <w:p>
      <w:pPr>
        <w:spacing w:before="198" w:line="595" w:lineRule="exact"/>
        <w:ind w:left="22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0"/>
          <w:sz w:val="31"/>
          <w:szCs w:val="31"/>
        </w:rPr>
        <w:t>本部门</w:t>
      </w:r>
      <w:r>
        <w:rPr>
          <w:rFonts w:ascii="仿宋" w:hAnsi="仿宋" w:eastAsia="仿宋" w:cs="仿宋"/>
          <w:spacing w:val="-59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年度本年收入合计</w:t>
      </w:r>
      <w:r>
        <w:rPr>
          <w:rFonts w:ascii="仿宋" w:hAnsi="仿宋" w:eastAsia="仿宋" w:cs="仿宋"/>
          <w:spacing w:val="-5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2,123.49</w:t>
      </w:r>
      <w:r>
        <w:rPr>
          <w:rFonts w:ascii="仿宋" w:hAnsi="仿宋" w:eastAsia="仿宋" w:cs="仿宋"/>
          <w:spacing w:val="-53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万元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，其中：财政拨</w:t>
      </w:r>
    </w:p>
    <w:p>
      <w:pPr>
        <w:spacing w:before="2" w:line="227" w:lineRule="auto"/>
        <w:ind w:left="1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款收入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2,123.49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100%。如图所示：</w:t>
      </w:r>
    </w:p>
    <w:p>
      <w:pPr>
        <w:spacing w:before="164" w:line="4459" w:lineRule="exact"/>
        <w:ind w:firstLine="2203"/>
        <w:textAlignment w:val="center"/>
      </w:pPr>
      <w:r>
        <w:drawing>
          <wp:inline distT="0" distB="0" distL="0" distR="0">
            <wp:extent cx="4838700" cy="2831465"/>
            <wp:effectExtent l="0" t="0" r="0" b="0"/>
            <wp:docPr id="105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IM 5"/>
                    <pic:cNvPicPr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83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4" w:line="226" w:lineRule="auto"/>
        <w:ind w:left="223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三、支出决算情况说明</w:t>
      </w:r>
    </w:p>
    <w:p>
      <w:pPr>
        <w:spacing w:before="200" w:line="280" w:lineRule="auto"/>
        <w:ind w:left="159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本部门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年度本年支出合计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1,902.69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万元，其中</w:t>
      </w:r>
      <w:r>
        <w:rPr>
          <w:rFonts w:ascii="仿宋" w:hAnsi="仿宋" w:eastAsia="仿宋" w:cs="仿宋"/>
          <w:spacing w:val="3"/>
          <w:sz w:val="31"/>
          <w:szCs w:val="31"/>
        </w:rPr>
        <w:t>：基本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"/>
          <w:sz w:val="31"/>
          <w:szCs w:val="31"/>
        </w:rPr>
        <w:t>支出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1,344.64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70.6%；项目支出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558.</w:t>
      </w:r>
      <w:r>
        <w:rPr>
          <w:rFonts w:ascii="仿宋" w:hAnsi="仿宋" w:eastAsia="仿宋" w:cs="仿宋"/>
          <w:spacing w:val="-3"/>
          <w:sz w:val="31"/>
          <w:szCs w:val="31"/>
        </w:rPr>
        <w:t>05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29.4%。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如图所示：</w:t>
      </w:r>
    </w:p>
    <w:p>
      <w:pPr>
        <w:spacing w:line="280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585" w:right="939" w:bottom="2128" w:left="0" w:header="0" w:footer="1962" w:gutter="0"/>
          <w:cols w:space="720" w:num="1"/>
        </w:sectPr>
      </w:pPr>
    </w:p>
    <w:p>
      <w:pPr>
        <w:spacing w:line="4984" w:lineRule="exact"/>
        <w:ind w:firstLine="458"/>
        <w:textAlignment w:val="center"/>
      </w:pPr>
      <w:r>
        <w:drawing>
          <wp:inline distT="0" distB="0" distL="0" distR="0">
            <wp:extent cx="4937125" cy="3164840"/>
            <wp:effectExtent l="0" t="0" r="0" b="0"/>
            <wp:docPr id="105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IM 6"/>
                    <pic:cNvPicPr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7759" cy="316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1" w:line="226" w:lineRule="auto"/>
        <w:ind w:left="45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四、财政拨款收入支出决算情况说明</w:t>
      </w:r>
    </w:p>
    <w:p>
      <w:pPr>
        <w:spacing w:before="197" w:line="231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（一）财政拨款收支与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2017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年度决算对比情况</w:t>
      </w:r>
    </w:p>
    <w:p>
      <w:pPr>
        <w:spacing w:before="209" w:line="354" w:lineRule="auto"/>
        <w:ind w:right="8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本部门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年度财政拨款本年收入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2123.49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万元,比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2017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度增加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191.92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9.9%，主要是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年在职</w:t>
      </w:r>
      <w:r>
        <w:rPr>
          <w:rFonts w:ascii="仿宋" w:hAnsi="仿宋" w:eastAsia="仿宋" w:cs="仿宋"/>
          <w:spacing w:val="3"/>
          <w:sz w:val="31"/>
          <w:szCs w:val="31"/>
        </w:rPr>
        <w:t>人员调整工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资，信访维稳、路面修缮等项目支出增加。本年支出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1902.69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元，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2017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年度减少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81.27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万元，降低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4.1%</w:t>
      </w:r>
      <w:r>
        <w:rPr>
          <w:rFonts w:ascii="仿宋" w:hAnsi="仿宋" w:eastAsia="仿宋" w:cs="仿宋"/>
          <w:spacing w:val="2"/>
          <w:sz w:val="31"/>
          <w:szCs w:val="31"/>
        </w:rPr>
        <w:t>，主要是按照省级财</w:t>
      </w:r>
    </w:p>
    <w:p>
      <w:pPr>
        <w:spacing w:before="1" w:line="225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政部门文件要求压减支出，特别是一般性支出</w:t>
      </w:r>
      <w:r>
        <w:rPr>
          <w:rFonts w:ascii="仿宋" w:hAnsi="仿宋" w:eastAsia="仿宋" w:cs="仿宋"/>
          <w:spacing w:val="6"/>
          <w:sz w:val="31"/>
          <w:szCs w:val="31"/>
        </w:rPr>
        <w:t>减少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10%。</w:t>
      </w:r>
    </w:p>
    <w:p>
      <w:pPr>
        <w:spacing w:before="216" w:line="595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其中：一般公共预算财政拨款本年收入</w:t>
      </w:r>
      <w:r>
        <w:rPr>
          <w:rFonts w:ascii="仿宋" w:hAnsi="仿宋" w:eastAsia="仿宋" w:cs="仿宋"/>
          <w:spacing w:val="-43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2017.86</w:t>
      </w:r>
      <w:r>
        <w:rPr>
          <w:rFonts w:ascii="仿宋" w:hAnsi="仿宋" w:eastAsia="仿宋" w:cs="仿宋"/>
          <w:spacing w:val="-5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万元，</w:t>
      </w:r>
      <w:r>
        <w:rPr>
          <w:rFonts w:ascii="仿宋" w:hAnsi="仿宋" w:eastAsia="仿宋" w:cs="仿宋"/>
          <w:spacing w:val="-9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比上年</w:t>
      </w:r>
    </w:p>
    <w:p>
      <w:pPr>
        <w:spacing w:before="2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增加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86.27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万元；主要是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年在职人员调整工资；本年支出</w:t>
      </w:r>
    </w:p>
    <w:p>
      <w:pPr>
        <w:spacing w:before="217" w:line="595" w:lineRule="exact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</w:rPr>
        <w:t>1862.97</w:t>
      </w:r>
      <w:r>
        <w:rPr>
          <w:rFonts w:ascii="仿宋" w:hAnsi="仿宋" w:eastAsia="仿宋" w:cs="仿宋"/>
          <w:spacing w:val="-5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万元，</w:t>
      </w:r>
      <w:r>
        <w:rPr>
          <w:rFonts w:ascii="仿宋" w:hAnsi="仿宋" w:eastAsia="仿宋" w:cs="仿宋"/>
          <w:spacing w:val="-9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比上年减少</w:t>
      </w:r>
      <w:r>
        <w:rPr>
          <w:rFonts w:ascii="仿宋" w:hAnsi="仿宋" w:eastAsia="仿宋" w:cs="仿宋"/>
          <w:spacing w:val="-39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120.99</w:t>
      </w:r>
      <w:r>
        <w:rPr>
          <w:rFonts w:ascii="仿宋" w:hAnsi="仿宋" w:eastAsia="仿宋" w:cs="仿宋"/>
          <w:spacing w:val="-50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万元，降低</w:t>
      </w:r>
      <w:r>
        <w:rPr>
          <w:rFonts w:ascii="仿宋" w:hAnsi="仿宋" w:eastAsia="仿宋" w:cs="仿宋"/>
          <w:spacing w:val="-60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6.1%，主要是本年</w:t>
      </w:r>
    </w:p>
    <w:p>
      <w:pPr>
        <w:spacing w:before="2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度农林水项目支出安排减少。政府性基金预算财政拨款本年收入</w:t>
      </w:r>
    </w:p>
    <w:p>
      <w:pPr>
        <w:spacing w:before="216" w:line="59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</w:rPr>
        <w:t>105.63</w:t>
      </w:r>
      <w:r>
        <w:rPr>
          <w:rFonts w:ascii="仿宋" w:hAnsi="仿宋" w:eastAsia="仿宋" w:cs="仿宋"/>
          <w:spacing w:val="-5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万元，</w:t>
      </w:r>
      <w:r>
        <w:rPr>
          <w:rFonts w:ascii="仿宋" w:hAnsi="仿宋" w:eastAsia="仿宋" w:cs="仿宋"/>
          <w:spacing w:val="-9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比上年增加</w:t>
      </w:r>
      <w:r>
        <w:rPr>
          <w:rFonts w:ascii="仿宋" w:hAnsi="仿宋" w:eastAsia="仿宋" w:cs="仿宋"/>
          <w:spacing w:val="-3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105.63</w:t>
      </w:r>
      <w:r>
        <w:rPr>
          <w:rFonts w:ascii="仿宋" w:hAnsi="仿宋" w:eastAsia="仿宋" w:cs="仿宋"/>
          <w:spacing w:val="-54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万元，</w:t>
      </w:r>
      <w:r>
        <w:rPr>
          <w:rFonts w:ascii="仿宋" w:hAnsi="仿宋" w:eastAsia="仿宋" w:cs="仿宋"/>
          <w:spacing w:val="1"/>
          <w:position w:val="20"/>
          <w:sz w:val="31"/>
          <w:szCs w:val="31"/>
        </w:rPr>
        <w:t>增长</w:t>
      </w:r>
      <w:r>
        <w:rPr>
          <w:rFonts w:ascii="仿宋" w:hAnsi="仿宋" w:eastAsia="仿宋" w:cs="仿宋"/>
          <w:spacing w:val="-3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0"/>
          <w:sz w:val="31"/>
          <w:szCs w:val="31"/>
        </w:rPr>
        <w:t>100%，主要原因是本</w:t>
      </w:r>
    </w:p>
    <w:p>
      <w:pPr>
        <w:spacing w:before="1" w:line="224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年度政府性基金安排信访维稳、路面修缮等项目；本年支出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39.72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003" w:right="863" w:bottom="2128" w:left="1785" w:header="0" w:footer="1962" w:gutter="0"/>
          <w:cols w:space="720" w:num="1"/>
        </w:sectPr>
      </w:pPr>
    </w:p>
    <w:p>
      <w:pPr>
        <w:spacing w:before="65" w:line="595" w:lineRule="exact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万元，</w:t>
      </w:r>
      <w:r>
        <w:rPr>
          <w:rFonts w:ascii="仿宋" w:hAnsi="仿宋" w:eastAsia="仿宋" w:cs="仿宋"/>
          <w:spacing w:val="-9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比上年增加</w:t>
      </w:r>
      <w:r>
        <w:rPr>
          <w:rFonts w:ascii="仿宋" w:hAnsi="仿宋" w:eastAsia="仿宋" w:cs="仿宋"/>
          <w:spacing w:val="-55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39.72</w:t>
      </w:r>
      <w:r>
        <w:rPr>
          <w:rFonts w:ascii="仿宋" w:hAnsi="仿宋" w:eastAsia="仿宋" w:cs="仿宋"/>
          <w:spacing w:val="-54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万元，增长</w:t>
      </w:r>
      <w:r>
        <w:rPr>
          <w:rFonts w:ascii="仿宋" w:hAnsi="仿宋" w:eastAsia="仿宋" w:cs="仿宋"/>
          <w:spacing w:val="-3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10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0%，主要是信访维稳、路</w:t>
      </w:r>
    </w:p>
    <w:p>
      <w:pPr>
        <w:spacing w:before="1" w:line="227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面修缮等项目支出。</w:t>
      </w:r>
    </w:p>
    <w:p>
      <w:pPr>
        <w:spacing w:before="164" w:line="4960" w:lineRule="exact"/>
        <w:ind w:firstLine="143"/>
        <w:textAlignment w:val="center"/>
      </w:pPr>
      <w:r>
        <w:drawing>
          <wp:inline distT="0" distB="0" distL="0" distR="0">
            <wp:extent cx="5621655" cy="3149600"/>
            <wp:effectExtent l="0" t="0" r="0" b="0"/>
            <wp:docPr id="105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IM 7"/>
                    <pic:cNvPicPr/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2035" cy="315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5" w:line="231" w:lineRule="auto"/>
        <w:ind w:left="47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（二）财政拨款收支与年初预算数对比情况</w:t>
      </w:r>
    </w:p>
    <w:p>
      <w:pPr>
        <w:spacing w:before="325" w:line="345" w:lineRule="auto"/>
        <w:ind w:left="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本部门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年度财政拨款本年收入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2123.49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万元，完</w:t>
      </w:r>
      <w:r>
        <w:rPr>
          <w:rFonts w:ascii="仿宋" w:hAnsi="仿宋" w:eastAsia="仿宋" w:cs="仿宋"/>
          <w:spacing w:val="4"/>
          <w:sz w:val="31"/>
          <w:szCs w:val="31"/>
        </w:rPr>
        <w:t>成年初算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126.38%，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比年初预算增加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443.3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万元，决算数</w:t>
      </w:r>
      <w:r>
        <w:rPr>
          <w:rFonts w:ascii="仿宋" w:hAnsi="仿宋" w:eastAsia="仿宋" w:cs="仿宋"/>
          <w:spacing w:val="3"/>
          <w:sz w:val="31"/>
          <w:szCs w:val="31"/>
        </w:rPr>
        <w:t>大于预算数主要原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因是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年在职人员调整工资，信访维稳、路面修缮等项目收入增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加；本年支出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1,902.69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万元，完成年初预算的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113%</w:t>
      </w:r>
      <w:r>
        <w:rPr>
          <w:rFonts w:ascii="仿宋" w:hAnsi="仿宋" w:eastAsia="仿宋" w:cs="仿宋"/>
          <w:spacing w:val="4"/>
          <w:sz w:val="31"/>
          <w:szCs w:val="31"/>
        </w:rPr>
        <w:t>,比年初预算增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加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222.5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万元，决算数大于预算数主要原因是主要是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年在职人</w:t>
      </w:r>
    </w:p>
    <w:p>
      <w:pPr>
        <w:spacing w:before="2" w:line="224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员调整工资，信访维稳、路面修缮等项目支出增加。</w:t>
      </w:r>
    </w:p>
    <w:p>
      <w:pPr>
        <w:spacing w:before="203" w:line="578" w:lineRule="exact"/>
        <w:ind w:right="1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其中，一般公共预算财政拨款本年收入完成年初预算</w:t>
      </w:r>
      <w:r>
        <w:rPr>
          <w:rFonts w:ascii="仿宋" w:hAnsi="仿宋" w:eastAsia="仿宋" w:cs="仿宋"/>
          <w:spacing w:val="-22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120.10%，</w:t>
      </w:r>
    </w:p>
    <w:p>
      <w:pPr>
        <w:spacing w:before="2" w:line="224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比年初预算增加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337.67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万元，主要是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年在职人</w:t>
      </w:r>
      <w:r>
        <w:rPr>
          <w:rFonts w:ascii="仿宋" w:hAnsi="仿宋" w:eastAsia="仿宋" w:cs="仿宋"/>
          <w:spacing w:val="3"/>
          <w:sz w:val="31"/>
          <w:szCs w:val="31"/>
        </w:rPr>
        <w:t>员调整工资；</w:t>
      </w:r>
    </w:p>
    <w:p>
      <w:pPr>
        <w:spacing w:before="203" w:line="581" w:lineRule="exact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支出完成年初预算</w:t>
      </w:r>
      <w:r>
        <w:rPr>
          <w:rFonts w:ascii="仿宋" w:hAnsi="仿宋" w:eastAsia="仿宋" w:cs="仿宋"/>
          <w:spacing w:val="-3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110.88%，</w:t>
      </w:r>
      <w:r>
        <w:rPr>
          <w:rFonts w:ascii="仿宋" w:hAnsi="仿宋" w:eastAsia="仿宋" w:cs="仿宋"/>
          <w:spacing w:val="-9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比年初预算增加</w:t>
      </w:r>
      <w:r>
        <w:rPr>
          <w:rFonts w:ascii="仿宋" w:hAnsi="仿宋" w:eastAsia="仿宋" w:cs="仿宋"/>
          <w:spacing w:val="-3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182.7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8</w:t>
      </w:r>
      <w:r>
        <w:rPr>
          <w:rFonts w:ascii="仿宋" w:hAnsi="仿宋" w:eastAsia="仿宋" w:cs="仿宋"/>
          <w:spacing w:val="-5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万元，主要是</w:t>
      </w:r>
    </w:p>
    <w:p>
      <w:pPr>
        <w:spacing w:before="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2018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年在职人员调整工资，信访维稳、路面修缮等项目支出增加。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986" w:right="623" w:bottom="2128" w:left="1778" w:header="0" w:footer="1963" w:gutter="0"/>
          <w:cols w:space="720" w:num="1"/>
        </w:sectPr>
      </w:pPr>
    </w:p>
    <w:p>
      <w:pPr>
        <w:spacing w:before="67" w:line="345" w:lineRule="auto"/>
        <w:ind w:left="19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政府性基金预算财政拨款本年收入完成年初预算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10563%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初预算增加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105.63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万元，主要是信访维稳、路面修缮等项目收入增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加；支出完成年初预算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3972%，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比年初预算增加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39.72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万元，主要是</w:t>
      </w:r>
    </w:p>
    <w:p>
      <w:pPr>
        <w:spacing w:before="1" w:line="224" w:lineRule="auto"/>
        <w:ind w:left="1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信访维稳、路面修缮等项目支出增加。</w:t>
      </w:r>
    </w:p>
    <w:p>
      <w:pPr>
        <w:spacing w:before="10" w:line="4838" w:lineRule="exact"/>
        <w:ind w:firstLine="420"/>
        <w:textAlignment w:val="center"/>
      </w:pPr>
      <w:r>
        <w:drawing>
          <wp:inline distT="0" distB="0" distL="0" distR="0">
            <wp:extent cx="5796915" cy="3072130"/>
            <wp:effectExtent l="0" t="0" r="0" b="0"/>
            <wp:docPr id="105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IM 8"/>
                    <pic:cNvPicPr/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295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9" w:line="232" w:lineRule="auto"/>
        <w:ind w:left="4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（三）财政拨款支出决算结构情况。</w:t>
      </w:r>
    </w:p>
    <w:p>
      <w:pPr>
        <w:spacing w:before="208" w:line="333" w:lineRule="auto"/>
        <w:ind w:left="12" w:right="505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2018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年度财政拨款支出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1,902.69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万元，主要用于以</w:t>
      </w:r>
      <w:r>
        <w:rPr>
          <w:rFonts w:ascii="仿宋" w:hAnsi="仿宋" w:eastAsia="仿宋" w:cs="仿宋"/>
          <w:spacing w:val="2"/>
          <w:sz w:val="31"/>
          <w:szCs w:val="31"/>
        </w:rPr>
        <w:t>下方面：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一般公共服务（类）支出:1,319.55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69.86%；教育支出：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11.45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6.1%；社会保障和就业（类）支出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213.40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</w:p>
    <w:p>
      <w:pPr>
        <w:spacing w:before="1" w:line="227" w:lineRule="auto"/>
        <w:ind w:left="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11.21%；医疗卫生与计划生育（类）支出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118.01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</w:p>
    <w:p>
      <w:pPr>
        <w:spacing w:before="177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6.2%；城乡社区（类）支出</w:t>
      </w:r>
      <w:r>
        <w:rPr>
          <w:rFonts w:ascii="仿宋" w:hAnsi="仿宋" w:eastAsia="仿宋" w:cs="仿宋"/>
          <w:spacing w:val="-55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31"/>
          <w:szCs w:val="31"/>
        </w:rPr>
        <w:t>39.72</w:t>
      </w:r>
      <w:r>
        <w:rPr>
          <w:rFonts w:ascii="仿宋" w:hAnsi="仿宋" w:eastAsia="仿宋" w:cs="仿宋"/>
          <w:spacing w:val="-51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31"/>
          <w:szCs w:val="31"/>
        </w:rPr>
        <w:t>2.1%;农林</w:t>
      </w:r>
      <w:r>
        <w:rPr>
          <w:rFonts w:ascii="仿宋" w:hAnsi="仿宋" w:eastAsia="仿宋" w:cs="仿宋"/>
          <w:spacing w:val="3"/>
          <w:position w:val="17"/>
          <w:sz w:val="31"/>
          <w:szCs w:val="31"/>
        </w:rPr>
        <w:t>水（类）支</w:t>
      </w:r>
    </w:p>
    <w:p>
      <w:pPr>
        <w:spacing w:before="1" w:line="226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175.47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9.22%;住房保障（类）支出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25.09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</w:p>
    <w:p>
      <w:pPr>
        <w:spacing w:before="180" w:line="242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1.31%。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130" w:right="623" w:bottom="2128" w:left="1588" w:header="0" w:footer="1962" w:gutter="0"/>
          <w:cols w:space="720" w:num="1"/>
        </w:sectPr>
      </w:pPr>
    </w:p>
    <w:p>
      <w:pPr>
        <w:spacing w:line="5027" w:lineRule="exact"/>
        <w:ind w:firstLine="326"/>
        <w:textAlignment w:val="center"/>
      </w:pPr>
      <w:r>
        <w:drawing>
          <wp:inline distT="0" distB="0" distL="0" distR="0">
            <wp:extent cx="5516880" cy="3192145"/>
            <wp:effectExtent l="0" t="0" r="0" b="0"/>
            <wp:docPr id="105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IM 9"/>
                    <pic:cNvPicPr/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319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01" w:line="231" w:lineRule="auto"/>
        <w:ind w:left="52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（四）一般公共预算财政拨款基本支出决算情况说明</w:t>
      </w:r>
    </w:p>
    <w:p>
      <w:pPr>
        <w:spacing w:before="181" w:line="333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2018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年度一般公共预算财政拨款基本支出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1,344.6</w:t>
      </w:r>
      <w:r>
        <w:rPr>
          <w:rFonts w:ascii="仿宋" w:hAnsi="仿宋" w:eastAsia="仿宋" w:cs="仿宋"/>
          <w:spacing w:val="4"/>
          <w:sz w:val="31"/>
          <w:szCs w:val="31"/>
        </w:rPr>
        <w:t>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中：人员经费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1,325.34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万元，主要包括基本工资、津贴补贴、奖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金、绩效工资、机关事业单位基本养老保险缴费、职工基本医疗保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险缴费、公务员医疗补助缴费、其他社会保障缴费、住房公积金、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其他工资福利支出、退休费、抚恤金、生活补助、医疗费补助、奖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励金、其他对个人和家庭的补助支出；公用经费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19.30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包括办公费、印刷费、手续费、水费、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电费、邮电费、取暖费</w:t>
      </w:r>
      <w:r>
        <w:rPr>
          <w:rFonts w:ascii="仿宋" w:hAnsi="仿宋" w:eastAsia="仿宋" w:cs="仿宋"/>
          <w:spacing w:val="6"/>
          <w:sz w:val="31"/>
          <w:szCs w:val="31"/>
        </w:rPr>
        <w:t>、物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业管理费、差旅费、维修（护）费、租赁费、会议费、培训费、公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务接待费、劳务费、工会经费、福利费、公</w:t>
      </w:r>
      <w:r>
        <w:rPr>
          <w:rFonts w:ascii="仿宋" w:hAnsi="仿宋" w:eastAsia="仿宋" w:cs="仿宋"/>
          <w:spacing w:val="9"/>
          <w:sz w:val="31"/>
          <w:szCs w:val="31"/>
        </w:rPr>
        <w:t>务用车运行维护费、其</w:t>
      </w:r>
    </w:p>
    <w:p>
      <w:pPr>
        <w:spacing w:line="227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他交通费用、其他商品和服务支出、办公设备购置。</w:t>
      </w:r>
    </w:p>
    <w:p>
      <w:pPr>
        <w:spacing w:before="152" w:line="226" w:lineRule="auto"/>
        <w:ind w:left="65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五、一般公共预算财政拨款“三公”</w:t>
      </w:r>
      <w:r>
        <w:rPr>
          <w:rFonts w:ascii="SimHei" w:hAnsi="SimHei" w:eastAsia="SimHei" w:cs="SimHei"/>
          <w:spacing w:val="33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8"/>
          <w:sz w:val="31"/>
          <w:szCs w:val="31"/>
        </w:rPr>
        <w:t>经费支出决算情况说明</w:t>
      </w:r>
    </w:p>
    <w:p>
      <w:pPr>
        <w:spacing w:before="234" w:line="596" w:lineRule="exact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本部门</w:t>
      </w:r>
      <w:r>
        <w:rPr>
          <w:rFonts w:ascii="仿宋" w:hAnsi="仿宋" w:eastAsia="仿宋" w:cs="仿宋"/>
          <w:spacing w:val="-52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年度“三公</w:t>
      </w:r>
      <w:r>
        <w:rPr>
          <w:rFonts w:ascii="仿宋" w:hAnsi="仿宋" w:eastAsia="仿宋" w:cs="仿宋"/>
          <w:spacing w:val="-110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”经费支出共计</w:t>
      </w:r>
      <w:r>
        <w:rPr>
          <w:rFonts w:ascii="仿宋" w:hAnsi="仿宋" w:eastAsia="仿宋" w:cs="仿宋"/>
          <w:spacing w:val="-5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5.49</w:t>
      </w:r>
      <w:r>
        <w:rPr>
          <w:rFonts w:ascii="仿宋" w:hAnsi="仿宋" w:eastAsia="仿宋" w:cs="仿宋"/>
          <w:spacing w:val="-5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31"/>
          <w:szCs w:val="31"/>
        </w:rPr>
        <w:t>万元，较年初</w:t>
      </w:r>
    </w:p>
    <w:p>
      <w:pPr>
        <w:spacing w:line="227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预算减少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0.91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万元，降低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14.21%，主要是：认真贯彻落实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003" w:right="974" w:bottom="2132" w:left="1595" w:header="0" w:footer="1963" w:gutter="0"/>
          <w:cols w:space="720" w:num="1"/>
        </w:sectPr>
      </w:pPr>
    </w:p>
    <w:p>
      <w:pPr>
        <w:spacing w:before="65" w:line="595" w:lineRule="exact"/>
        <w:ind w:left="11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position w:val="20"/>
          <w:sz w:val="31"/>
          <w:szCs w:val="31"/>
          <w:lang w:eastAsia="zh-CN"/>
        </w:rPr>
        <w:t>中央</w:t>
      </w:r>
      <w:bookmarkStart w:id="0" w:name="_GoBack"/>
      <w:bookmarkEnd w:id="0"/>
      <w:r>
        <w:rPr>
          <w:rFonts w:ascii="仿宋" w:hAnsi="仿宋" w:eastAsia="仿宋" w:cs="仿宋"/>
          <w:spacing w:val="7"/>
          <w:position w:val="20"/>
          <w:sz w:val="31"/>
          <w:szCs w:val="31"/>
        </w:rPr>
        <w:t>八项规定</w:t>
      </w:r>
      <w:r>
        <w:rPr>
          <w:rFonts w:ascii="仿宋" w:hAnsi="仿宋" w:eastAsia="仿宋" w:cs="仿宋"/>
          <w:spacing w:val="-112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精神和厉行节约要求，从严控制“三公</w:t>
      </w:r>
      <w:r>
        <w:rPr>
          <w:rFonts w:ascii="仿宋" w:hAnsi="仿宋" w:eastAsia="仿宋" w:cs="仿宋"/>
          <w:spacing w:val="-113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”经费</w:t>
      </w:r>
      <w:r>
        <w:rPr>
          <w:rFonts w:ascii="仿宋" w:hAnsi="仿宋" w:eastAsia="仿宋" w:cs="仿宋"/>
          <w:spacing w:val="6"/>
          <w:position w:val="20"/>
          <w:sz w:val="31"/>
          <w:szCs w:val="31"/>
        </w:rPr>
        <w:t>开支，</w:t>
      </w:r>
    </w:p>
    <w:p>
      <w:pPr>
        <w:spacing w:line="227" w:lineRule="auto"/>
        <w:ind w:left="1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全年实际支出比预算有所节约。具体情况如下：</w:t>
      </w:r>
    </w:p>
    <w:p>
      <w:pPr>
        <w:spacing w:before="215" w:line="354" w:lineRule="auto"/>
        <w:ind w:right="50" w:firstLine="101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(一)因公出国（境）费支出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万元。</w:t>
      </w:r>
      <w:r>
        <w:rPr>
          <w:rFonts w:ascii="仿宋" w:hAnsi="仿宋" w:eastAsia="仿宋" w:cs="仿宋"/>
          <w:spacing w:val="3"/>
          <w:sz w:val="31"/>
          <w:szCs w:val="31"/>
        </w:rPr>
        <w:t>本部门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年度因公出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（境）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团组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个、共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人，参加其他单位组织的因公出国（境）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团组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个、共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人，无本单位组织的出国（境）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团组</w:t>
      </w:r>
      <w:r>
        <w:rPr>
          <w:rFonts w:ascii="仿宋" w:hAnsi="仿宋" w:eastAsia="仿宋" w:cs="仿宋"/>
          <w:spacing w:val="4"/>
          <w:sz w:val="31"/>
          <w:szCs w:val="31"/>
        </w:rPr>
        <w:t>。因公出国（境）费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支出较年初预算增加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0%,主要是因公出国（境）费支出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与预算和上年没有变化，与上年数据持平，与年初预算数持平。20</w:t>
      </w:r>
      <w:r>
        <w:rPr>
          <w:rFonts w:ascii="仿宋" w:hAnsi="仿宋" w:eastAsia="仿宋" w:cs="仿宋"/>
          <w:spacing w:val="8"/>
          <w:sz w:val="31"/>
          <w:szCs w:val="31"/>
        </w:rPr>
        <w:t>18</w:t>
      </w:r>
    </w:p>
    <w:p>
      <w:pPr>
        <w:spacing w:line="227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年度及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2017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年度没有该项预算及支出。</w:t>
      </w:r>
    </w:p>
    <w:p>
      <w:pPr>
        <w:spacing w:before="213" w:line="231" w:lineRule="auto"/>
        <w:ind w:left="78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（二）公务用车购置及运行维护费支出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3.00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万元。</w:t>
      </w:r>
      <w:r>
        <w:rPr>
          <w:rFonts w:ascii="仿宋" w:hAnsi="仿宋" w:eastAsia="仿宋" w:cs="仿宋"/>
          <w:spacing w:val="6"/>
          <w:sz w:val="31"/>
          <w:szCs w:val="31"/>
        </w:rPr>
        <w:t>本部门</w:t>
      </w:r>
    </w:p>
    <w:p>
      <w:pPr>
        <w:spacing w:before="194" w:line="354" w:lineRule="auto"/>
        <w:ind w:left="139" w:right="162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2018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年度公务用车购置及运行维护费较年初预算减少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0.6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低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2.0%,主要是认真贯彻落实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中央</w:t>
      </w:r>
      <w:r>
        <w:rPr>
          <w:rFonts w:ascii="仿宋" w:hAnsi="仿宋" w:eastAsia="仿宋" w:cs="仿宋"/>
          <w:spacing w:val="6"/>
          <w:sz w:val="31"/>
          <w:szCs w:val="31"/>
        </w:rPr>
        <w:t>八项规定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精神和厉行节约要</w:t>
      </w:r>
    </w:p>
    <w:p>
      <w:pPr>
        <w:spacing w:before="1" w:line="224" w:lineRule="auto"/>
        <w:ind w:left="1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求，从严控制公车购置费及运行费开支。其中:</w:t>
      </w:r>
    </w:p>
    <w:p>
      <w:pPr>
        <w:spacing w:before="220" w:line="596" w:lineRule="exact"/>
        <w:ind w:right="7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</w:rPr>
        <w:t>公务用车购置费：本部门</w:t>
      </w:r>
      <w:r>
        <w:rPr>
          <w:rFonts w:ascii="仿宋" w:hAnsi="仿宋" w:eastAsia="仿宋" w:cs="仿宋"/>
          <w:spacing w:val="-42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年度无公务用车购置费支出，与</w:t>
      </w:r>
    </w:p>
    <w:p>
      <w:pPr>
        <w:spacing w:before="1" w:line="224" w:lineRule="auto"/>
        <w:ind w:left="1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年初预算持平。2017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年度无公务用车购置费支出。</w:t>
      </w:r>
    </w:p>
    <w:p>
      <w:pPr>
        <w:spacing w:before="222" w:line="354" w:lineRule="auto"/>
        <w:ind w:left="138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公务用车运行维护费：本部门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年度单位公务用车保有</w:t>
      </w:r>
      <w:r>
        <w:rPr>
          <w:rFonts w:ascii="仿宋" w:hAnsi="仿宋" w:eastAsia="仿宋" w:cs="仿宋"/>
          <w:spacing w:val="5"/>
          <w:sz w:val="31"/>
          <w:szCs w:val="31"/>
        </w:rPr>
        <w:t>量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辆。公车运行维护费支出较年初预算减少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0.6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万元，增长降低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2.0%,</w:t>
      </w:r>
    </w:p>
    <w:p>
      <w:pPr>
        <w:spacing w:before="1" w:line="224" w:lineRule="auto"/>
        <w:ind w:left="1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主要是严控制公车运行费开支。</w:t>
      </w:r>
    </w:p>
    <w:p>
      <w:pPr>
        <w:spacing w:before="220" w:line="595" w:lineRule="exact"/>
        <w:ind w:left="88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position w:val="20"/>
          <w:sz w:val="31"/>
          <w:szCs w:val="31"/>
        </w:rPr>
        <w:t>（三）公务接待费支出</w:t>
      </w:r>
      <w:r>
        <w:rPr>
          <w:rFonts w:ascii="楷体" w:hAnsi="楷体" w:eastAsia="楷体" w:cs="楷体"/>
          <w:spacing w:val="-66"/>
          <w:position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position w:val="20"/>
          <w:sz w:val="31"/>
          <w:szCs w:val="31"/>
        </w:rPr>
        <w:t>2.50</w:t>
      </w:r>
      <w:r>
        <w:rPr>
          <w:rFonts w:ascii="楷体" w:hAnsi="楷体" w:eastAsia="楷体" w:cs="楷体"/>
          <w:spacing w:val="-51"/>
          <w:position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position w:val="20"/>
          <w:sz w:val="31"/>
          <w:szCs w:val="31"/>
        </w:rPr>
        <w:t>万元。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本部门</w:t>
      </w:r>
      <w:r>
        <w:rPr>
          <w:rFonts w:ascii="仿宋" w:hAnsi="仿宋" w:eastAsia="仿宋" w:cs="仿宋"/>
          <w:spacing w:val="-5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20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18</w:t>
      </w:r>
      <w:r>
        <w:rPr>
          <w:rFonts w:ascii="仿宋" w:hAnsi="仿宋" w:eastAsia="仿宋" w:cs="仿宋"/>
          <w:spacing w:val="-47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年度公务接待</w:t>
      </w:r>
    </w:p>
    <w:p>
      <w:pPr>
        <w:spacing w:line="227" w:lineRule="auto"/>
        <w:ind w:left="2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共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批次、561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人次。公务接待费支出较年初预算减少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.31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</w:p>
    <w:p>
      <w:pPr>
        <w:spacing w:before="213" w:line="354" w:lineRule="auto"/>
        <w:ind w:left="228" w:right="155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元，降低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11.21%,主要是认真贯彻落实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中央</w:t>
      </w:r>
      <w:r>
        <w:rPr>
          <w:rFonts w:ascii="仿宋" w:hAnsi="仿宋" w:eastAsia="仿宋" w:cs="仿宋"/>
          <w:spacing w:val="5"/>
          <w:sz w:val="31"/>
          <w:szCs w:val="31"/>
        </w:rPr>
        <w:t>八项规定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精神和厉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行节约要求，严格控制公务接待费支出，接待批次减少，招待人数</w:t>
      </w:r>
    </w:p>
    <w:p>
      <w:pPr>
        <w:spacing w:before="1" w:line="228" w:lineRule="auto"/>
        <w:ind w:left="2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减少。</w:t>
      </w:r>
    </w:p>
    <w:p>
      <w:pPr>
        <w:spacing w:before="215" w:line="226" w:lineRule="auto"/>
        <w:ind w:left="77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六、预算绩效情况说明</w:t>
      </w:r>
    </w:p>
    <w:p>
      <w:pPr>
        <w:spacing w:line="226" w:lineRule="auto"/>
        <w:rPr>
          <w:rFonts w:ascii="SimHei" w:hAnsi="SimHei" w:eastAsia="SimHei" w:cs="SimHei"/>
          <w:sz w:val="31"/>
          <w:szCs w:val="31"/>
        </w:rPr>
        <w:sectPr>
          <w:footerReference r:id="rId16" w:type="default"/>
          <w:pgSz w:w="11906" w:h="16839"/>
          <w:pgMar w:top="986" w:right="812" w:bottom="2128" w:left="1456" w:header="0" w:footer="1963" w:gutter="0"/>
          <w:cols w:space="720" w:num="1"/>
        </w:sectPr>
      </w:pPr>
    </w:p>
    <w:p>
      <w:pPr>
        <w:spacing w:before="64" w:line="226" w:lineRule="auto"/>
        <w:ind w:left="7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预算绩效管理工作开展情况。</w:t>
      </w:r>
    </w:p>
    <w:p>
      <w:pPr>
        <w:spacing w:before="206" w:line="354" w:lineRule="auto"/>
        <w:ind w:left="249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本部门紧紧围绕县委、县政府决策部署，针对昌黎县城郊区管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理委员会工作遇到的新情况、新问题，合理</w:t>
      </w:r>
      <w:r>
        <w:rPr>
          <w:rFonts w:ascii="仿宋" w:hAnsi="仿宋" w:eastAsia="仿宋" w:cs="仿宋"/>
          <w:spacing w:val="9"/>
          <w:sz w:val="31"/>
          <w:szCs w:val="31"/>
        </w:rPr>
        <w:t>编制预算，安排相关专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项资金。为尽快落实省级和市级财政支出项</w:t>
      </w:r>
      <w:r>
        <w:rPr>
          <w:rFonts w:ascii="仿宋" w:hAnsi="仿宋" w:eastAsia="仿宋" w:cs="仿宋"/>
          <w:spacing w:val="9"/>
          <w:sz w:val="31"/>
          <w:szCs w:val="31"/>
        </w:rPr>
        <w:t>目绩效评价工作，按照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省财政厅部署和要求，依据《关于做好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年省直部门绩</w:t>
      </w:r>
      <w:r>
        <w:rPr>
          <w:rFonts w:ascii="仿宋" w:hAnsi="仿宋" w:eastAsia="仿宋" w:cs="仿宋"/>
          <w:spacing w:val="7"/>
          <w:sz w:val="31"/>
          <w:szCs w:val="31"/>
        </w:rPr>
        <w:t>效自评工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作的通知》（冀财监〔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2019</w:t>
      </w:r>
      <w:r>
        <w:rPr>
          <w:rFonts w:ascii="仿宋" w:hAnsi="仿宋" w:eastAsia="仿宋" w:cs="仿宋"/>
          <w:spacing w:val="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号）文件、县财政局《关于全面开展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年市县级财政支出绩效评价工作的通知》文件精神，首先召集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有关人员认真学习和领会文件精神，部署绩</w:t>
      </w:r>
      <w:r>
        <w:rPr>
          <w:rFonts w:ascii="仿宋" w:hAnsi="仿宋" w:eastAsia="仿宋" w:cs="仿宋"/>
          <w:spacing w:val="9"/>
          <w:sz w:val="31"/>
          <w:szCs w:val="31"/>
        </w:rPr>
        <w:t>效评价工作；其次，成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立了以主管副主任为组长，相关科室为副组</w:t>
      </w:r>
      <w:r>
        <w:rPr>
          <w:rFonts w:ascii="仿宋" w:hAnsi="仿宋" w:eastAsia="仿宋" w:cs="仿宋"/>
          <w:spacing w:val="9"/>
          <w:sz w:val="31"/>
          <w:szCs w:val="31"/>
        </w:rPr>
        <w:t>长，相关科室站所长为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成员的绩效评价工作领导小组，指定专人负</w:t>
      </w:r>
      <w:r>
        <w:rPr>
          <w:rFonts w:ascii="仿宋" w:hAnsi="仿宋" w:eastAsia="仿宋" w:cs="仿宋"/>
          <w:spacing w:val="9"/>
          <w:sz w:val="31"/>
          <w:szCs w:val="31"/>
        </w:rPr>
        <w:t>责，确保此项工作落到</w:t>
      </w:r>
    </w:p>
    <w:p>
      <w:pPr>
        <w:spacing w:before="1" w:line="227" w:lineRule="auto"/>
        <w:ind w:left="2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实处。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28" w:lineRule="auto"/>
        <w:ind w:left="9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（二）项目绩效自评结果。</w:t>
      </w:r>
    </w:p>
    <w:p>
      <w:pPr>
        <w:spacing w:before="232" w:line="363" w:lineRule="auto"/>
        <w:ind w:right="25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按照县财政预算绩效管理要求，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昌黎县城郊区管理委员会对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年度初确定的部门一般公共预算支出项目全面</w:t>
      </w:r>
      <w:r>
        <w:rPr>
          <w:rFonts w:ascii="仿宋" w:hAnsi="仿宋" w:eastAsia="仿宋" w:cs="仿宋"/>
          <w:spacing w:val="6"/>
          <w:sz w:val="31"/>
          <w:szCs w:val="31"/>
        </w:rPr>
        <w:t>开展了绩效自评。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昌黎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县城郊区管理委员会部门决算项目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26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个，共涉及预算资金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604.78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</w:p>
    <w:p>
      <w:pPr>
        <w:spacing w:before="1" w:line="227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元，绩效自评覆盖率达到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100.0%。</w:t>
      </w:r>
    </w:p>
    <w:p>
      <w:pPr>
        <w:spacing w:before="232" w:line="610" w:lineRule="exact"/>
        <w:ind w:left="6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经过对</w:t>
      </w:r>
      <w:r>
        <w:rPr>
          <w:rFonts w:ascii="仿宋" w:hAnsi="仿宋" w:eastAsia="仿宋" w:cs="仿宋"/>
          <w:spacing w:val="-4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26</w:t>
      </w:r>
      <w:r>
        <w:rPr>
          <w:rFonts w:ascii="仿宋" w:hAnsi="仿宋" w:eastAsia="仿宋" w:cs="仿宋"/>
          <w:spacing w:val="-53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个决算项目实施后所取得的实际绩效进行认真树立和</w:t>
      </w:r>
    </w:p>
    <w:p>
      <w:pPr>
        <w:spacing w:before="1" w:line="227" w:lineRule="auto"/>
        <w:ind w:left="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总结，评价综合得分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94，等级评价为“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良好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2" w:line="227" w:lineRule="auto"/>
        <w:ind w:left="9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（三）部门决算量化评价说明。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986" w:right="892" w:bottom="2128" w:left="1331" w:header="0" w:footer="1963" w:gutter="0"/>
          <w:cols w:space="720" w:num="1"/>
        </w:sectPr>
      </w:pPr>
    </w:p>
    <w:p>
      <w:pPr>
        <w:spacing w:before="65" w:line="503" w:lineRule="exact"/>
        <w:ind w:left="40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3"/>
          <w:sz w:val="31"/>
          <w:szCs w:val="31"/>
        </w:rPr>
        <w:t>部门决算量化评价表</w:t>
      </w:r>
    </w:p>
    <w:p>
      <w:pPr>
        <w:spacing w:before="1" w:line="220" w:lineRule="auto"/>
        <w:ind w:left="3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单位名称：</w:t>
      </w:r>
      <w:r>
        <w:rPr>
          <w:rFonts w:ascii="仿宋" w:hAnsi="仿宋" w:eastAsia="仿宋" w:cs="仿宋"/>
          <w:spacing w:val="-8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昌黎县城郊区管理委员会</w:t>
      </w:r>
    </w:p>
    <w:p>
      <w:pPr>
        <w:spacing w:before="78" w:line="11741" w:lineRule="exact"/>
        <w:textAlignment w:val="center"/>
      </w:pPr>
      <w:r>
        <w:drawing>
          <wp:inline distT="0" distB="0" distL="0" distR="0">
            <wp:extent cx="6982460" cy="7454900"/>
            <wp:effectExtent l="0" t="0" r="0" b="0"/>
            <wp:docPr id="106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 10"/>
                    <pic:cNvPicPr/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2714" cy="745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41" w:lineRule="exact"/>
        <w:sectPr>
          <w:footerReference r:id="rId18" w:type="default"/>
          <w:pgSz w:w="11906" w:h="16839"/>
          <w:pgMar w:top="986" w:right="0" w:bottom="2128" w:left="909" w:header="0" w:footer="1963" w:gutter="0"/>
          <w:cols w:space="720" w:num="1"/>
        </w:sectPr>
      </w:pPr>
    </w:p>
    <w:p>
      <w:pPr>
        <w:spacing w:before="161" w:line="226" w:lineRule="auto"/>
        <w:ind w:left="634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七、其他重要事项的说明</w:t>
      </w:r>
    </w:p>
    <w:p>
      <w:pPr>
        <w:spacing w:before="200" w:line="231" w:lineRule="auto"/>
        <w:ind w:left="66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（一）机关运行经费情况</w:t>
      </w:r>
    </w:p>
    <w:p>
      <w:pPr>
        <w:tabs>
          <w:tab w:val="left" w:pos="9112"/>
        </w:tabs>
        <w:spacing w:before="193" w:line="352" w:lineRule="auto"/>
        <w:ind w:left="6" w:right="310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本部门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年度机关运行经费支出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19.30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比年初预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算数减少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万元，降低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57.39%。主要原因是本着厉行节约要求，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严格管理，按照能压就压，能减就减的原则控制一般性支出。较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2017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年度决算数减少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0.11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万元，降</w:t>
      </w:r>
      <w:r>
        <w:rPr>
          <w:rFonts w:ascii="仿宋" w:hAnsi="仿宋" w:eastAsia="仿宋" w:cs="仿宋"/>
          <w:spacing w:val="4"/>
          <w:sz w:val="31"/>
          <w:szCs w:val="31"/>
        </w:rPr>
        <w:t>低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0.01%,主要原因同上。</w:t>
      </w:r>
    </w:p>
    <w:p>
      <w:pPr>
        <w:spacing w:before="199" w:line="232" w:lineRule="auto"/>
        <w:ind w:left="66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（二）政府采购情况</w:t>
      </w:r>
    </w:p>
    <w:p>
      <w:pPr>
        <w:spacing w:before="188" w:line="227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本部门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年度政府采购支出总额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万元，从采购类型来</w:t>
      </w:r>
    </w:p>
    <w:p>
      <w:pPr>
        <w:spacing w:before="325" w:line="333" w:lineRule="auto"/>
        <w:ind w:left="6" w:right="79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看，政府采购货物支出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万元，政府采购工程支出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万元，政府采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购服务支出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万元。授予中小企业合同金额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占政府采购支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出总额的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0%，其中授予小微企业合同金额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占政府采购支出</w:t>
      </w:r>
    </w:p>
    <w:p>
      <w:pPr>
        <w:spacing w:before="1" w:line="228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总额的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0%。</w:t>
      </w:r>
    </w:p>
    <w:p>
      <w:pPr>
        <w:spacing w:before="181" w:line="229" w:lineRule="auto"/>
        <w:ind w:left="66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（三）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国有资产占用情况</w:t>
      </w:r>
    </w:p>
    <w:p>
      <w:pPr>
        <w:spacing w:before="197" w:line="354" w:lineRule="auto"/>
        <w:ind w:left="9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截至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31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日，本部门共有车辆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9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辆，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比上年一样，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无增加，也无减少；单位无价值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万元以上通用设备，单位无价值</w:t>
      </w:r>
    </w:p>
    <w:p>
      <w:pPr>
        <w:spacing w:line="229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100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万元以上专用设备。</w:t>
      </w:r>
    </w:p>
    <w:p>
      <w:pPr>
        <w:spacing w:before="213" w:line="229" w:lineRule="auto"/>
        <w:ind w:left="66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（四）其他需要说明的情况</w:t>
      </w:r>
    </w:p>
    <w:p>
      <w:pPr>
        <w:spacing w:before="196" w:line="593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1、本部门</w:t>
      </w:r>
      <w:r>
        <w:rPr>
          <w:rFonts w:ascii="仿宋" w:hAnsi="仿宋" w:eastAsia="仿宋" w:cs="仿宋"/>
          <w:spacing w:val="-43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年度结转结余</w:t>
      </w:r>
      <w:r>
        <w:rPr>
          <w:rFonts w:ascii="仿宋" w:hAnsi="仿宋" w:eastAsia="仿宋" w:cs="仿宋"/>
          <w:spacing w:val="-5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224.12</w:t>
      </w:r>
      <w:r>
        <w:rPr>
          <w:rFonts w:ascii="仿宋" w:hAnsi="仿宋" w:eastAsia="仿宋" w:cs="仿宋"/>
          <w:spacing w:val="-5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万元，主要为对村民委员</w:t>
      </w:r>
    </w:p>
    <w:p>
      <w:pPr>
        <w:spacing w:line="227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会和村党支部的补助、其他国有土地使用权出让收</w:t>
      </w:r>
      <w:r>
        <w:rPr>
          <w:rFonts w:ascii="仿宋" w:hAnsi="仿宋" w:eastAsia="仿宋" w:cs="仿宋"/>
          <w:spacing w:val="8"/>
          <w:sz w:val="31"/>
          <w:szCs w:val="31"/>
        </w:rPr>
        <w:t>入安排的支出</w:t>
      </w:r>
    </w:p>
    <w:p>
      <w:pPr>
        <w:spacing w:before="214" w:line="229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等。</w:t>
      </w:r>
    </w:p>
    <w:p>
      <w:pPr>
        <w:spacing w:before="215" w:line="593" w:lineRule="exact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</w:rPr>
        <w:t>2、本部门</w:t>
      </w:r>
      <w:r>
        <w:rPr>
          <w:rFonts w:ascii="仿宋" w:hAnsi="仿宋" w:eastAsia="仿宋" w:cs="仿宋"/>
          <w:spacing w:val="-47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年度国有资本经营预算财政拨款支出为零，特</w:t>
      </w:r>
    </w:p>
    <w:p>
      <w:pPr>
        <w:spacing w:before="1" w:line="229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此说明。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892" w:bottom="2128" w:left="1589" w:header="0" w:footer="1963" w:gutter="0"/>
          <w:cols w:space="720" w:num="1"/>
        </w:sectPr>
      </w:pPr>
    </w:p>
    <w:p>
      <w:pPr>
        <w:spacing w:before="66" w:line="354" w:lineRule="auto"/>
        <w:ind w:left="12" w:firstLine="6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3、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由于决算公开表格中金额数值应当保留两位小数，公开数据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为四舍五入计算结果，个别数据合计项与分项之和</w:t>
      </w:r>
      <w:r>
        <w:rPr>
          <w:rFonts w:ascii="仿宋" w:hAnsi="仿宋" w:eastAsia="仿宋" w:cs="仿宋"/>
          <w:spacing w:val="8"/>
          <w:sz w:val="31"/>
          <w:szCs w:val="31"/>
        </w:rPr>
        <w:t>存在小数点后差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额，特此说明。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986" w:right="904" w:bottom="2128" w:left="1594" w:header="0" w:footer="1963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pict>
          <v:shape id="1061" o:spid="_x0000_s1046" o:spt="202" type="#_x0000_t202" style="position:absolute;left:0pt;margin-left:203.65pt;margin-top:354.3pt;height:127.75pt;width:192.1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20" w:line="1360" w:lineRule="exact"/>
                    <w:ind w:left="20"/>
                    <w:rPr>
                      <w:rFonts w:ascii="SimHei" w:hAnsi="SimHei" w:eastAsia="SimHei" w:cs="SimHei"/>
                      <w:sz w:val="95"/>
                      <w:szCs w:val="95"/>
                    </w:rPr>
                  </w:pPr>
                  <w:r>
                    <w:rPr>
                      <w:rFonts w:ascii="SimHei" w:hAnsi="SimHei" w:eastAsia="SimHei" w:cs="SimHei"/>
                      <w:color w:val="FDEFBE"/>
                      <w:position w:val="26"/>
                      <w:sz w:val="95"/>
                      <w:szCs w:val="95"/>
                    </w:rPr>
                    <w:t>第四部分</w:t>
                  </w:r>
                </w:p>
                <w:p>
                  <w:pPr>
                    <w:spacing w:before="1" w:line="224" w:lineRule="auto"/>
                    <w:ind w:left="27"/>
                    <w:rPr>
                      <w:rFonts w:ascii="SimHei" w:hAnsi="SimHei" w:eastAsia="SimHei" w:cs="SimHei"/>
                      <w:sz w:val="95"/>
                      <w:szCs w:val="95"/>
                    </w:rPr>
                  </w:pPr>
                  <w:r>
                    <w:rPr>
                      <w:rFonts w:ascii="SimHei" w:hAnsi="SimHei" w:eastAsia="SimHei" w:cs="SimHei"/>
                      <w:color w:val="FDEFBE"/>
                      <w:spacing w:val="-2"/>
                      <w:sz w:val="95"/>
                      <w:szCs w:val="95"/>
                    </w:rPr>
                    <w:t>名词解释</w:t>
                  </w:r>
                </w:p>
              </w:txbxContent>
            </v:textbox>
          </v:shape>
        </w:pic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166" w:lineRule="auto"/>
        <w:ind w:left="5920"/>
        <w:rPr>
          <w:rFonts w:ascii="Cambria" w:hAnsi="Cambria" w:eastAsia="Cambria" w:cs="Cambria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-9301480</wp:posOffset>
            </wp:positionV>
            <wp:extent cx="7543800" cy="10664825"/>
            <wp:effectExtent l="0" t="0" r="0" b="0"/>
            <wp:wrapNone/>
            <wp:docPr id="1062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IM 11"/>
                    <pic:cNvPicPr/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eastAsia="Cambria" w:cs="Cambria"/>
          <w:spacing w:val="-15"/>
          <w:sz w:val="21"/>
          <w:szCs w:val="21"/>
        </w:rPr>
        <w:t>21</w:t>
      </w:r>
    </w:p>
    <w:p>
      <w:pPr>
        <w:spacing w:line="166" w:lineRule="auto"/>
        <w:rPr>
          <w:rFonts w:ascii="Cambria" w:hAnsi="Cambria" w:eastAsia="Cambria" w:cs="Cambria"/>
          <w:sz w:val="21"/>
          <w:szCs w:val="21"/>
        </w:rPr>
        <w:sectPr>
          <w:footerReference r:id="rId21" w:type="default"/>
          <w:pgSz w:w="11906" w:h="16839"/>
          <w:pgMar w:top="0" w:right="25" w:bottom="400" w:left="0" w:header="0" w:footer="0" w:gutter="0"/>
          <w:cols w:space="720" w:num="1"/>
        </w:sectPr>
      </w:pPr>
    </w:p>
    <w:tbl>
      <w:tblPr>
        <w:tblStyle w:val="4"/>
        <w:tblW w:w="5240" w:type="dxa"/>
        <w:tblInd w:w="2" w:type="dxa"/>
        <w:tblBorders>
          <w:top w:val="single" w:color="845209" w:sz="16" w:space="0"/>
          <w:left w:val="single" w:color="845209" w:sz="2" w:space="0"/>
          <w:bottom w:val="single" w:color="845209" w:sz="16" w:space="0"/>
          <w:right w:val="single" w:color="845209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0"/>
      </w:tblGrid>
      <w:tr>
        <w:tblPrEx>
          <w:tblBorders>
            <w:top w:val="single" w:color="845209" w:sz="16" w:space="0"/>
            <w:left w:val="single" w:color="845209" w:sz="2" w:space="0"/>
            <w:bottom w:val="single" w:color="845209" w:sz="16" w:space="0"/>
            <w:right w:val="single" w:color="845209" w:sz="16" w:space="0"/>
            <w:insideH w:val="none" w:color="auto" w:sz="0" w:space="0"/>
            <w:insideV w:val="none" w:color="auto" w:sz="0" w:space="0"/>
          </w:tblBorders>
        </w:tblPrEx>
        <w:trPr>
          <w:trHeight w:val="820" w:hRule="atLeast"/>
        </w:trPr>
        <w:tc>
          <w:tcPr>
            <w:tcW w:w="5240" w:type="dxa"/>
            <w:shd w:val="clear" w:color="auto" w:fill="D8D8D8"/>
          </w:tcPr>
          <w:p>
            <w:pPr>
              <w:spacing w:before="125" w:line="685" w:lineRule="exact"/>
              <w:textAlignment w:val="center"/>
            </w:pPr>
            <w:r>
              <w:pict>
                <v:group id="1063" o:spid="_x0000_s1047" o:spt="203" style="height:36pt;width:257.05pt;" coordsize="5140,720">
                  <o:lock v:ext="edit"/>
                  <v:shape id="1064" o:spid="_x0000_s1048" o:spt="75" type="#_x0000_t75" style="position:absolute;left:0;top:0;height:720;width:5140;" filled="f" stroked="f" coordsize="21600,21600">
                    <v:path/>
                    <v:fill on="f" focussize="0,0"/>
                    <v:stroke on="f"/>
                    <v:imagedata r:id="rId42" embosscolor="#FFFFFF" o:title=""/>
                    <o:lock v:ext="edit" aspectratio="t"/>
                  </v:shape>
                  <v:shape id="1065" o:spid="_x0000_s1049" o:spt="202" type="#_x0000_t202" style="position:absolute;left:-20;top:-20;height:814;width:5180;" filled="f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before="320" w:line="450" w:lineRule="exact"/>
                            <w:ind w:left="176"/>
                            <w:rPr>
                              <w:rFonts w:ascii="楷体" w:hAnsi="楷体" w:eastAsia="楷体" w:cs="楷体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position w:val="3"/>
                              <w:sz w:val="31"/>
                              <w:szCs w:val="31"/>
                            </w:rPr>
                            <w:t>2018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-48"/>
                              <w:position w:val="3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position w:val="3"/>
                              <w:sz w:val="31"/>
                              <w:szCs w:val="31"/>
                            </w:rPr>
                            <w:t>年度部门决算</w:t>
                          </w:r>
                          <w:r>
                            <w:rPr>
                              <w:rFonts w:ascii="MS Gothic" w:hAnsi="MS Gothic" w:eastAsia="MS Gothic" w:cs="MS Gothic"/>
                              <w:color w:val="FDEFBE"/>
                              <w:spacing w:val="7"/>
                              <w:position w:val="3"/>
                              <w:sz w:val="31"/>
                              <w:szCs w:val="31"/>
                            </w:rPr>
                            <w:t>☞</w:t>
                          </w:r>
                          <w:r>
                            <w:rPr>
                              <w:rFonts w:ascii="楷体" w:hAnsi="楷体" w:eastAsia="楷体" w:cs="楷体"/>
                              <w:color w:val="FDEFBE"/>
                              <w:spacing w:val="7"/>
                              <w:position w:val="3"/>
                              <w:sz w:val="31"/>
                              <w:szCs w:val="31"/>
                            </w:rPr>
                            <w:t>名词解释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before="50" w:line="593" w:lineRule="exact"/>
        <w:ind w:left="22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position w:val="20"/>
          <w:sz w:val="31"/>
          <w:szCs w:val="31"/>
        </w:rPr>
        <w:t>（一）</w:t>
      </w:r>
      <w:r>
        <w:rPr>
          <w:rFonts w:ascii="楷体" w:hAnsi="楷体" w:eastAsia="楷体" w:cs="楷体"/>
          <w:spacing w:val="44"/>
          <w:position w:val="2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position w:val="20"/>
          <w:sz w:val="31"/>
          <w:szCs w:val="31"/>
        </w:rPr>
        <w:t>财政拨款收入：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本年度从本级财政部门取得的财政拨</w:t>
      </w:r>
    </w:p>
    <w:p>
      <w:pPr>
        <w:spacing w:before="1" w:line="225" w:lineRule="auto"/>
        <w:ind w:left="1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款，包括一般公共预算财政拨款和政府性基金</w:t>
      </w:r>
      <w:r>
        <w:rPr>
          <w:rFonts w:ascii="仿宋" w:hAnsi="仿宋" w:eastAsia="仿宋" w:cs="仿宋"/>
          <w:spacing w:val="8"/>
          <w:sz w:val="31"/>
          <w:szCs w:val="31"/>
        </w:rPr>
        <w:t>预算财政拨款。</w:t>
      </w:r>
    </w:p>
    <w:p>
      <w:pPr>
        <w:spacing w:before="218" w:line="595" w:lineRule="exact"/>
        <w:ind w:left="22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position w:val="20"/>
          <w:sz w:val="31"/>
          <w:szCs w:val="31"/>
        </w:rPr>
        <w:t>（二）</w:t>
      </w:r>
      <w:r>
        <w:rPr>
          <w:rFonts w:ascii="楷体" w:hAnsi="楷体" w:eastAsia="楷体" w:cs="楷体"/>
          <w:spacing w:val="45"/>
          <w:position w:val="2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position w:val="20"/>
          <w:sz w:val="31"/>
          <w:szCs w:val="31"/>
        </w:rPr>
        <w:t>事业收入：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指事业单位开展专业业务活动及辅助活动</w:t>
      </w:r>
    </w:p>
    <w:p>
      <w:pPr>
        <w:spacing w:before="1" w:line="227" w:lineRule="auto"/>
        <w:ind w:left="15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所取得的收入。</w:t>
      </w:r>
    </w:p>
    <w:p>
      <w:pPr>
        <w:spacing w:before="215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position w:val="17"/>
          <w:sz w:val="31"/>
          <w:szCs w:val="31"/>
        </w:rPr>
        <w:t>（三）</w:t>
      </w:r>
      <w:r>
        <w:rPr>
          <w:rFonts w:ascii="楷体" w:hAnsi="楷体" w:eastAsia="楷体" w:cs="楷体"/>
          <w:spacing w:val="40"/>
          <w:position w:val="1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0"/>
          <w:position w:val="17"/>
          <w:sz w:val="31"/>
          <w:szCs w:val="31"/>
        </w:rPr>
        <w:t>其他收入：</w:t>
      </w: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指除上述“财政拨款收入</w:t>
      </w:r>
      <w:r>
        <w:rPr>
          <w:rFonts w:ascii="仿宋" w:hAnsi="仿宋" w:eastAsia="仿宋" w:cs="仿宋"/>
          <w:spacing w:val="-112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”“事业收入</w:t>
      </w:r>
      <w:r>
        <w:rPr>
          <w:rFonts w:ascii="仿宋" w:hAnsi="仿宋" w:eastAsia="仿宋" w:cs="仿宋"/>
          <w:spacing w:val="-112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”</w:t>
      </w:r>
    </w:p>
    <w:p>
      <w:pPr>
        <w:spacing w:before="1" w:line="228" w:lineRule="auto"/>
        <w:ind w:left="15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“经营收入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”等以外的收入。</w:t>
      </w:r>
    </w:p>
    <w:p>
      <w:pPr>
        <w:spacing w:before="178" w:line="354" w:lineRule="auto"/>
        <w:ind w:left="1566" w:right="183" w:firstLine="67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（四）</w:t>
      </w:r>
      <w:r>
        <w:rPr>
          <w:rFonts w:ascii="楷体" w:hAnsi="楷体" w:eastAsia="楷体" w:cs="楷体"/>
          <w:spacing w:val="5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</w:rPr>
        <w:t>用事业基金弥补收支差额：</w:t>
      </w:r>
      <w:r>
        <w:rPr>
          <w:rFonts w:ascii="仿宋" w:hAnsi="仿宋" w:eastAsia="仿宋" w:cs="仿宋"/>
          <w:spacing w:val="6"/>
          <w:sz w:val="31"/>
          <w:szCs w:val="31"/>
        </w:rPr>
        <w:t>指事业单位在用当年的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sz w:val="31"/>
          <w:szCs w:val="31"/>
        </w:rPr>
        <w:t>“财政拨款收入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”“财政拨款结转和结余资金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”“</w:t>
      </w:r>
      <w:r>
        <w:rPr>
          <w:rFonts w:ascii="仿宋" w:hAnsi="仿宋" w:eastAsia="仿宋" w:cs="仿宋"/>
          <w:spacing w:val="5"/>
          <w:sz w:val="31"/>
          <w:szCs w:val="31"/>
        </w:rPr>
        <w:t>事业收入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”“经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营收入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”“其他收入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”不足以安排当年支出的情况下，使用以前年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度积累的事业基金（事业单位当年收支相抵后按国家规定提取、用</w:t>
      </w:r>
    </w:p>
    <w:p>
      <w:pPr>
        <w:spacing w:line="227" w:lineRule="auto"/>
        <w:ind w:left="16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于弥补以后年度收支差额的基金）弥补本年度收支缺口的资金。</w:t>
      </w:r>
    </w:p>
    <w:p>
      <w:pPr>
        <w:spacing w:before="217" w:line="595" w:lineRule="exact"/>
        <w:ind w:left="22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position w:val="20"/>
          <w:sz w:val="31"/>
          <w:szCs w:val="31"/>
        </w:rPr>
        <w:t>（五）</w:t>
      </w:r>
      <w:r>
        <w:rPr>
          <w:rFonts w:ascii="楷体" w:hAnsi="楷体" w:eastAsia="楷体" w:cs="楷体"/>
          <w:spacing w:val="45"/>
          <w:position w:val="2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position w:val="20"/>
          <w:sz w:val="31"/>
          <w:szCs w:val="31"/>
        </w:rPr>
        <w:t>年初结转和结余：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指以前年度尚未完成、结转到本年</w:t>
      </w:r>
    </w:p>
    <w:p>
      <w:pPr>
        <w:spacing w:before="1" w:line="227" w:lineRule="auto"/>
        <w:ind w:left="15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仍按原规定用途继续使用的资金，或项目已完成等产生的结余资</w:t>
      </w:r>
    </w:p>
    <w:p>
      <w:pPr>
        <w:spacing w:before="212" w:line="234" w:lineRule="auto"/>
        <w:ind w:left="1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金。</w:t>
      </w:r>
    </w:p>
    <w:p>
      <w:pPr>
        <w:spacing w:before="206" w:line="595" w:lineRule="exact"/>
        <w:ind w:left="22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position w:val="20"/>
          <w:sz w:val="31"/>
          <w:szCs w:val="31"/>
        </w:rPr>
        <w:t>（六）</w:t>
      </w:r>
      <w:r>
        <w:rPr>
          <w:rFonts w:ascii="楷体" w:hAnsi="楷体" w:eastAsia="楷体" w:cs="楷体"/>
          <w:spacing w:val="45"/>
          <w:position w:val="2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position w:val="20"/>
          <w:sz w:val="31"/>
          <w:szCs w:val="31"/>
        </w:rPr>
        <w:t>结余分配：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指事业单位按照事业单位会计制度的规定</w:t>
      </w:r>
    </w:p>
    <w:p>
      <w:pPr>
        <w:spacing w:line="227" w:lineRule="auto"/>
        <w:ind w:left="1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从非财政补助结余中分配的事业基金和职工福利基金等。</w:t>
      </w:r>
    </w:p>
    <w:p>
      <w:pPr>
        <w:spacing w:before="216" w:line="596" w:lineRule="exact"/>
        <w:ind w:left="223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7"/>
          <w:position w:val="20"/>
          <w:sz w:val="31"/>
          <w:szCs w:val="31"/>
        </w:rPr>
        <w:t>（七）</w:t>
      </w:r>
      <w:r>
        <w:rPr>
          <w:rFonts w:ascii="楷体" w:hAnsi="楷体" w:eastAsia="楷体" w:cs="楷体"/>
          <w:spacing w:val="45"/>
          <w:position w:val="2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position w:val="20"/>
          <w:sz w:val="31"/>
          <w:szCs w:val="31"/>
        </w:rPr>
        <w:t>年末结转和结余：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指单位按有关规定结转到下年或以</w:t>
      </w:r>
    </w:p>
    <w:p>
      <w:pPr>
        <w:spacing w:before="1" w:line="227" w:lineRule="auto"/>
        <w:ind w:left="1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后年度继续使用的资金，或项目已完成等产生的结余资金。</w:t>
      </w:r>
    </w:p>
    <w:p>
      <w:pPr>
        <w:spacing w:before="216" w:line="354" w:lineRule="auto"/>
        <w:ind w:left="1603" w:right="23" w:firstLine="63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（八）</w:t>
      </w:r>
      <w:r>
        <w:rPr>
          <w:rFonts w:ascii="楷体" w:hAnsi="楷体" w:eastAsia="楷体" w:cs="楷体"/>
          <w:spacing w:val="3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8"/>
          <w:sz w:val="31"/>
          <w:szCs w:val="31"/>
        </w:rPr>
        <w:t>基本支出：</w:t>
      </w:r>
      <w:r>
        <w:rPr>
          <w:rFonts w:ascii="仿宋" w:hAnsi="仿宋" w:eastAsia="仿宋" w:cs="仿宋"/>
          <w:spacing w:val="8"/>
          <w:sz w:val="31"/>
          <w:szCs w:val="31"/>
        </w:rPr>
        <w:t>填列单位为保障机构正常运转、完成日常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工作任务而发生的各项支出。（九）</w:t>
      </w:r>
      <w:r>
        <w:rPr>
          <w:rFonts w:ascii="宋体" w:hAnsi="宋体" w:eastAsia="宋体" w:cs="宋体"/>
          <w:spacing w:val="4"/>
          <w:sz w:val="31"/>
          <w:szCs w:val="31"/>
        </w:rPr>
        <w:t>项目支</w:t>
      </w:r>
      <w:r>
        <w:rPr>
          <w:rFonts w:ascii="宋体" w:hAnsi="宋体" w:eastAsia="宋体" w:cs="宋体"/>
          <w:spacing w:val="3"/>
          <w:sz w:val="31"/>
          <w:szCs w:val="31"/>
        </w:rPr>
        <w:t>出</w:t>
      </w:r>
      <w:r>
        <w:rPr>
          <w:rFonts w:ascii="仿宋" w:hAnsi="仿宋" w:eastAsia="仿宋" w:cs="仿宋"/>
          <w:spacing w:val="3"/>
          <w:sz w:val="31"/>
          <w:szCs w:val="31"/>
        </w:rPr>
        <w:t>：填列单位为完成特定</w:t>
      </w:r>
    </w:p>
    <w:p>
      <w:pPr>
        <w:spacing w:before="2" w:line="224" w:lineRule="auto"/>
        <w:ind w:left="1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的行政工作任务或事业发展目标，在基本支出之外发生的各项支出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791" w:right="869" w:bottom="2128" w:left="0" w:header="0" w:footer="1962" w:gutter="0"/>
          <w:cols w:space="720" w:num="1"/>
        </w:sectPr>
      </w:pPr>
    </w:p>
    <w:p>
      <w:pPr>
        <w:spacing w:before="66" w:line="595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0"/>
          <w:sz w:val="31"/>
          <w:szCs w:val="31"/>
        </w:rPr>
        <w:t>（十）</w:t>
      </w:r>
      <w:r>
        <w:rPr>
          <w:rFonts w:ascii="仿宋" w:hAnsi="仿宋" w:eastAsia="仿宋" w:cs="仿宋"/>
          <w:spacing w:val="46"/>
          <w:position w:val="20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position w:val="20"/>
          <w:sz w:val="31"/>
          <w:szCs w:val="31"/>
        </w:rPr>
        <w:t>资本性支出（基本建设</w:t>
      </w:r>
      <w:r>
        <w:rPr>
          <w:rFonts w:ascii="楷体" w:hAnsi="楷体" w:eastAsia="楷体" w:cs="楷体"/>
          <w:spacing w:val="-87"/>
          <w:position w:val="20"/>
          <w:sz w:val="31"/>
          <w:szCs w:val="31"/>
        </w:rPr>
        <w:t>）：</w:t>
      </w:r>
      <w:r>
        <w:rPr>
          <w:rFonts w:ascii="楷体" w:hAnsi="楷体" w:eastAsia="楷体" w:cs="楷体"/>
          <w:spacing w:val="-89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0"/>
          <w:sz w:val="31"/>
          <w:szCs w:val="31"/>
        </w:rPr>
        <w:t>填列切块由发展改革部门安</w:t>
      </w:r>
    </w:p>
    <w:p>
      <w:pPr>
        <w:spacing w:before="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排的基本建设支出，对企业补助支出不在此科目反映。</w:t>
      </w:r>
    </w:p>
    <w:p>
      <w:pPr>
        <w:spacing w:before="219" w:line="596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（十一）</w:t>
      </w:r>
      <w:r>
        <w:rPr>
          <w:rFonts w:ascii="仿宋" w:hAnsi="仿宋" w:eastAsia="仿宋" w:cs="仿宋"/>
          <w:spacing w:val="-81"/>
          <w:position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position w:val="20"/>
          <w:sz w:val="31"/>
          <w:szCs w:val="31"/>
        </w:rPr>
        <w:t>资本性支出：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填列各单位安排的资本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性支出。切块由</w:t>
      </w:r>
    </w:p>
    <w:p>
      <w:pPr>
        <w:spacing w:before="1" w:line="224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发展改革部门安排的基本建设支出不在此科目反映。</w:t>
      </w:r>
    </w:p>
    <w:p>
      <w:pPr>
        <w:spacing w:before="221" w:line="354" w:lineRule="auto"/>
        <w:ind w:left="8" w:right="189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（十二）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“三公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”经费：</w:t>
      </w:r>
      <w:r>
        <w:rPr>
          <w:rFonts w:ascii="仿宋" w:hAnsi="仿宋" w:eastAsia="仿宋" w:cs="仿宋"/>
          <w:spacing w:val="6"/>
          <w:sz w:val="31"/>
          <w:szCs w:val="31"/>
        </w:rPr>
        <w:t>指部门用财政拨款安排的因公出国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（境）费、公务用车购置及运行费和公务接待费。其中，因公出国</w:t>
      </w:r>
    </w:p>
    <w:p>
      <w:pPr>
        <w:spacing w:line="226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（境）费反映单位公务出国（境）的国际旅费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国外城市间交通</w:t>
      </w:r>
    </w:p>
    <w:p>
      <w:pPr>
        <w:spacing w:before="215" w:line="354" w:lineRule="auto"/>
        <w:ind w:left="6" w:right="189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费、住宿费、伙食费、培训费、公杂费等支出；公务</w:t>
      </w:r>
      <w:r>
        <w:rPr>
          <w:rFonts w:ascii="仿宋" w:hAnsi="仿宋" w:eastAsia="仿宋" w:cs="仿宋"/>
          <w:spacing w:val="8"/>
          <w:sz w:val="31"/>
          <w:szCs w:val="31"/>
        </w:rPr>
        <w:t>用车购置及运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行费反映单位公务用车购置支出（含车辆购置税）及租用费、燃料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费、维修费、过路过桥费、保险费、安全奖励费用等支出；公务接</w:t>
      </w:r>
    </w:p>
    <w:p>
      <w:pPr>
        <w:spacing w:before="1" w:line="226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待费反映单位按规定开支的各类公务接待（含外宾</w:t>
      </w:r>
      <w:r>
        <w:rPr>
          <w:rFonts w:ascii="仿宋" w:hAnsi="仿宋" w:eastAsia="仿宋" w:cs="仿宋"/>
          <w:spacing w:val="8"/>
          <w:sz w:val="31"/>
          <w:szCs w:val="31"/>
        </w:rPr>
        <w:t>接待）支出。</w:t>
      </w:r>
    </w:p>
    <w:p>
      <w:pPr>
        <w:spacing w:before="218" w:line="595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（十三）</w:t>
      </w:r>
      <w:r>
        <w:rPr>
          <w:rFonts w:ascii="仿宋" w:hAnsi="仿宋" w:eastAsia="仿宋" w:cs="仿宋"/>
          <w:spacing w:val="-87"/>
          <w:position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position w:val="20"/>
          <w:sz w:val="31"/>
          <w:szCs w:val="31"/>
        </w:rPr>
        <w:t>其他交通费用：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填列单位除公务用车运行维护费以外</w:t>
      </w:r>
    </w:p>
    <w:p>
      <w:pPr>
        <w:spacing w:before="1" w:line="224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的其他交通费用。如公务交通补贴、租车费用、出租车费用、飞</w:t>
      </w:r>
    </w:p>
    <w:p>
      <w:pPr>
        <w:spacing w:before="217" w:line="226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机、船舶等的燃料费、维修费、保险费等。</w:t>
      </w:r>
    </w:p>
    <w:p>
      <w:pPr>
        <w:spacing w:before="219" w:line="595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（十四）</w:t>
      </w:r>
      <w:r>
        <w:rPr>
          <w:rFonts w:ascii="楷体" w:hAnsi="楷体" w:eastAsia="楷体" w:cs="楷体"/>
          <w:spacing w:val="10"/>
          <w:position w:val="20"/>
          <w:sz w:val="31"/>
          <w:szCs w:val="31"/>
        </w:rPr>
        <w:t>公务用车购置：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填列单位公务用车购置支出（含车辆</w:t>
      </w:r>
    </w:p>
    <w:p>
      <w:pPr>
        <w:spacing w:before="2" w:line="227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购置税、牌照费）。</w:t>
      </w:r>
    </w:p>
    <w:p>
      <w:pPr>
        <w:spacing w:before="215" w:line="559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（十五）</w:t>
      </w:r>
      <w:r>
        <w:rPr>
          <w:rFonts w:ascii="仿宋" w:hAnsi="仿宋" w:eastAsia="仿宋" w:cs="仿宋"/>
          <w:spacing w:val="-87"/>
          <w:position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position w:val="17"/>
          <w:sz w:val="31"/>
          <w:szCs w:val="31"/>
        </w:rPr>
        <w:t>其他交通工具购置：</w:t>
      </w:r>
      <w:r>
        <w:rPr>
          <w:rFonts w:ascii="仿宋" w:hAnsi="仿宋" w:eastAsia="仿宋" w:cs="仿宋"/>
          <w:spacing w:val="8"/>
          <w:position w:val="17"/>
          <w:sz w:val="31"/>
          <w:szCs w:val="31"/>
        </w:rPr>
        <w:t>填列单位除公务用车外的其他各</w:t>
      </w:r>
    </w:p>
    <w:p>
      <w:pPr>
        <w:spacing w:before="1" w:line="224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类交通工具（如船舶、飞机）购置支出（含车辆购置税、牌照费）。</w:t>
      </w:r>
    </w:p>
    <w:p>
      <w:pPr>
        <w:spacing w:before="189" w:line="333" w:lineRule="auto"/>
        <w:ind w:left="3" w:right="16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（十六）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机关运行经费：</w:t>
      </w:r>
      <w:r>
        <w:rPr>
          <w:rFonts w:ascii="仿宋" w:hAnsi="仿宋" w:eastAsia="仿宋" w:cs="仿宋"/>
          <w:spacing w:val="8"/>
          <w:sz w:val="31"/>
          <w:szCs w:val="31"/>
        </w:rPr>
        <w:t>指为保障行政单位（包括参照公务员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法管理的事业单位）运行用于购买货物和服务的各项资金，包括办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公及印刷费、邮电费、差旅费、会议费、福利费、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日常维修</w:t>
      </w:r>
      <w:r>
        <w:rPr>
          <w:rFonts w:ascii="仿宋" w:hAnsi="仿宋" w:eastAsia="仿宋" w:cs="仿宋"/>
          <w:spacing w:val="5"/>
          <w:sz w:val="31"/>
          <w:szCs w:val="31"/>
        </w:rPr>
        <w:t>费、专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用材料以及一般设备购置费、办公用房水电费、办公用</w:t>
      </w:r>
      <w:r>
        <w:rPr>
          <w:rFonts w:ascii="仿宋" w:hAnsi="仿宋" w:eastAsia="仿宋" w:cs="仿宋"/>
          <w:spacing w:val="8"/>
          <w:sz w:val="31"/>
          <w:szCs w:val="31"/>
        </w:rPr>
        <w:t>房取暖费、</w:t>
      </w:r>
    </w:p>
    <w:p>
      <w:pPr>
        <w:spacing w:before="2" w:line="224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办公用房物业管理费、公务用车运行维护费以及其他费用。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985" w:right="863" w:bottom="2128" w:left="1591" w:header="0" w:footer="1963" w:gutter="0"/>
          <w:cols w:space="720" w:num="1"/>
        </w:sectPr>
      </w:pPr>
    </w:p>
    <w:p>
      <w:pPr>
        <w:spacing w:before="66" w:line="595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position w:val="20"/>
          <w:sz w:val="31"/>
          <w:szCs w:val="31"/>
        </w:rPr>
        <w:t>（十七）经费形式: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按照经费来源，可分为财政拨款、财政性资</w:t>
      </w:r>
    </w:p>
    <w:p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金基本保证、财政性资金定额或定项补助、财政性资金零补助四</w:t>
      </w:r>
    </w:p>
    <w:p>
      <w:pPr>
        <w:spacing w:before="216" w:line="23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类。</w:t>
      </w:r>
    </w:p>
    <w:p>
      <w:pPr>
        <w:spacing w:line="230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985" w:right="904" w:bottom="2128" w:left="1595" w:header="0" w:footer="1962" w:gutter="0"/>
          <w:cols w:space="720" w:num="1"/>
        </w:sectPr>
      </w:pPr>
    </w:p>
    <w:p>
      <w:pPr>
        <w:rPr>
          <w:rFonts w:ascii="Arial"/>
          <w:sz w:val="21"/>
        </w:rPr>
      </w:pPr>
      <w:r>
        <w:pict>
          <v:rect id="1067" o:spid="_x0000_s1050" o:spt="1" style="position:absolute;left:0pt;margin-left:1.4pt;margin-top:0pt;height:839.8pt;width:592.8pt;mso-position-horizontal-relative:page;mso-position-vertical-relative:page;z-index:251660288;mso-width-relative:page;mso-height-relative:page;" fillcolor="#FCEEBD" filled="t" stroked="f" coordsize="21600,21600" o:allowincell="f">
            <v:path/>
            <v:fill on="t" opacity="65278f" focussize="0,0"/>
            <v:stroke on="f"/>
            <v:imagedata o:title=""/>
            <o:lock v:ext="edit"/>
          </v:rect>
        </w:pict>
      </w:r>
    </w:p>
    <w:sectPr>
      <w:footerReference r:id="rId25" w:type="default"/>
      <w:pgSz w:w="11906" w:h="16839"/>
      <w:pgMar w:top="0" w:right="21" w:bottom="400" w:left="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Got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5970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z w:val="19"/>
        <w:szCs w:val="19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36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11"/>
        <w:sz w:val="19"/>
        <w:szCs w:val="19"/>
      </w:rPr>
      <w:t>14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329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11"/>
        <w:sz w:val="19"/>
        <w:szCs w:val="19"/>
      </w:rPr>
      <w:t>15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468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11"/>
        <w:sz w:val="19"/>
        <w:szCs w:val="19"/>
      </w:rPr>
      <w:t>16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92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11"/>
        <w:sz w:val="19"/>
        <w:szCs w:val="19"/>
      </w:rPr>
      <w:t>17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5014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11"/>
        <w:sz w:val="19"/>
        <w:szCs w:val="19"/>
      </w:rPr>
      <w:t>18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35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11"/>
        <w:sz w:val="19"/>
        <w:szCs w:val="19"/>
      </w:rPr>
      <w:t>19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25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9"/>
        <w:sz w:val="19"/>
        <w:szCs w:val="19"/>
      </w:rPr>
      <w:t>20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5920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9"/>
        <w:sz w:val="19"/>
        <w:szCs w:val="19"/>
      </w:rPr>
      <w:t>22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28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9"/>
        <w:sz w:val="19"/>
        <w:szCs w:val="19"/>
      </w:rPr>
      <w:t>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5808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z w:val="19"/>
        <w:szCs w:val="19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24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9"/>
        <w:sz w:val="19"/>
        <w:szCs w:val="19"/>
      </w:rPr>
      <w:t>24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58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z w:val="19"/>
        <w:szCs w:val="19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5022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z w:val="19"/>
        <w:szCs w:val="19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5924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11"/>
        <w:sz w:val="19"/>
        <w:szCs w:val="19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39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11"/>
        <w:sz w:val="19"/>
        <w:szCs w:val="19"/>
      </w:rPr>
      <w:t>12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45"/>
      <w:rPr>
        <w:rFonts w:ascii="Cambria" w:hAnsi="Cambria" w:eastAsia="Cambria" w:cs="Cambria"/>
        <w:sz w:val="19"/>
        <w:szCs w:val="19"/>
      </w:rPr>
    </w:pPr>
    <w:r>
      <w:rPr>
        <w:rFonts w:ascii="Cambria" w:hAnsi="Cambria" w:eastAsia="Cambria" w:cs="Cambria"/>
        <w:spacing w:val="-11"/>
        <w:sz w:val="19"/>
        <w:szCs w:val="19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E40B6F"/>
    <w:rsid w:val="5FC33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16.png"/><Relationship Id="rId41" Type="http://schemas.openxmlformats.org/officeDocument/2006/relationships/image" Target="media/image15.png"/><Relationship Id="rId40" Type="http://schemas.openxmlformats.org/officeDocument/2006/relationships/image" Target="media/image14.png"/><Relationship Id="rId4" Type="http://schemas.openxmlformats.org/officeDocument/2006/relationships/endnotes" Target="endnotes.xml"/><Relationship Id="rId39" Type="http://schemas.openxmlformats.org/officeDocument/2006/relationships/image" Target="media/image13.jpeg"/><Relationship Id="rId38" Type="http://schemas.openxmlformats.org/officeDocument/2006/relationships/image" Target="media/image12.png"/><Relationship Id="rId37" Type="http://schemas.openxmlformats.org/officeDocument/2006/relationships/image" Target="media/image11.png"/><Relationship Id="rId36" Type="http://schemas.openxmlformats.org/officeDocument/2006/relationships/image" Target="media/image10.png"/><Relationship Id="rId35" Type="http://schemas.openxmlformats.org/officeDocument/2006/relationships/image" Target="media/image9.png"/><Relationship Id="rId34" Type="http://schemas.openxmlformats.org/officeDocument/2006/relationships/image" Target="media/image8.jpeg"/><Relationship Id="rId33" Type="http://schemas.openxmlformats.org/officeDocument/2006/relationships/image" Target="media/image7.png"/><Relationship Id="rId32" Type="http://schemas.openxmlformats.org/officeDocument/2006/relationships/image" Target="media/image6.png"/><Relationship Id="rId31" Type="http://schemas.openxmlformats.org/officeDocument/2006/relationships/image" Target="media/image5.png"/><Relationship Id="rId30" Type="http://schemas.openxmlformats.org/officeDocument/2006/relationships/image" Target="media/image4.png"/><Relationship Id="rId3" Type="http://schemas.openxmlformats.org/officeDocument/2006/relationships/footnotes" Target="footnotes.xml"/><Relationship Id="rId29" Type="http://schemas.openxmlformats.org/officeDocument/2006/relationships/image" Target="media/image3.png"/><Relationship Id="rId28" Type="http://schemas.openxmlformats.org/officeDocument/2006/relationships/image" Target="media/image2.png"/><Relationship Id="rId27" Type="http://schemas.openxmlformats.org/officeDocument/2006/relationships/image" Target="media/image1.png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4"/>
    <customShpInfo spid="_x0000_s1036"/>
    <customShpInfo spid="_x0000_s1037"/>
    <customShpInfo spid="_x0000_s1035"/>
    <customShpInfo spid="_x0000_s1038"/>
    <customShpInfo spid="_x0000_s1040"/>
    <customShpInfo spid="_x0000_s1041"/>
    <customShpInfo spid="_x0000_s1039"/>
    <customShpInfo spid="_x0000_s1042"/>
    <customShpInfo spid="_x0000_s1044"/>
    <customShpInfo spid="_x0000_s1045"/>
    <customShpInfo spid="_x0000_s1043"/>
    <customShpInfo spid="_x0000_s1046"/>
    <customShpInfo spid="_x0000_s1048"/>
    <customShpInfo spid="_x0000_s1049"/>
    <customShpInfo spid="_x0000_s1047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5922</Words>
  <Characters>6484</Characters>
  <Paragraphs>723</Paragraphs>
  <TotalTime>2</TotalTime>
  <ScaleCrop>false</ScaleCrop>
  <LinksUpToDate>false</LinksUpToDate>
  <CharactersWithSpaces>6943</CharactersWithSpaces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2021-05-18T17:30:00Z</dcterms:created>
  <dc:creator>User</dc:creator>
  <cp:lastModifiedBy>Administrator</cp:lastModifiedBy>
  <dcterms:modified xsi:type="dcterms:W3CDTF">2024-05-24T01:13:23Z</dcterms:modified>
  <dc:subject>石家庄市xxx部门</dc:subject>
  <dc:title>2017年度部门决算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ICV">
    <vt:lpwstr>6b59a1878ade47eda87472591eb3f0a3</vt:lpwstr>
  </property>
  <property fmtid="{D5CDD505-2E9C-101B-9397-08002B2CF9AE}" pid="4" name="KSOProductBuildVer">
    <vt:lpwstr>2052-11.8.2.12118</vt:lpwstr>
  </property>
</Properties>
</file>