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309" w:line="242" w:lineRule="auto"/>
        <w:ind w:left="1971" w:right="1698" w:hanging="269"/>
        <w:outlineLvl w:val="0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-6"/>
          <w:sz w:val="95"/>
          <w:szCs w:val="95"/>
        </w:rPr>
        <w:t>昌黎县体育管理中心</w:t>
      </w:r>
      <w:r>
        <w:rPr>
          <w:rFonts w:ascii="黑体" w:hAnsi="黑体" w:eastAsia="黑体" w:cs="黑体"/>
          <w:color w:val="FDEFBE"/>
          <w:spacing w:val="7"/>
          <w:sz w:val="95"/>
          <w:szCs w:val="95"/>
        </w:rPr>
        <w:t xml:space="preserve"> </w:t>
      </w:r>
      <w:r>
        <w:rPr>
          <w:rFonts w:ascii="黑体" w:hAnsi="黑体" w:eastAsia="黑体" w:cs="黑体"/>
          <w:color w:val="FDEFBE"/>
          <w:spacing w:val="-3"/>
          <w:sz w:val="95"/>
          <w:szCs w:val="95"/>
        </w:rPr>
        <w:t>2018</w:t>
      </w:r>
      <w:r>
        <w:rPr>
          <w:rFonts w:ascii="黑体" w:hAnsi="黑体" w:eastAsia="黑体" w:cs="黑体"/>
          <w:color w:val="FDEFBE"/>
          <w:spacing w:val="-172"/>
          <w:sz w:val="95"/>
          <w:szCs w:val="95"/>
        </w:rPr>
        <w:t xml:space="preserve"> </w:t>
      </w:r>
      <w:r>
        <w:rPr>
          <w:rFonts w:ascii="黑体" w:hAnsi="黑体" w:eastAsia="黑体" w:cs="黑体"/>
          <w:color w:val="FDEFBE"/>
          <w:spacing w:val="-3"/>
          <w:sz w:val="95"/>
          <w:szCs w:val="95"/>
        </w:rPr>
        <w:t>年度部门决算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39" w:line="229" w:lineRule="auto"/>
        <w:ind w:left="4466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b/>
          <w:bCs/>
          <w:spacing w:val="4"/>
          <w:sz w:val="43"/>
          <w:szCs w:val="43"/>
        </w:rPr>
        <w:t>二〇一九年十月</w:t>
      </w:r>
    </w:p>
    <w:p>
      <w:pPr>
        <w:spacing w:line="229" w:lineRule="auto"/>
        <w:rPr>
          <w:rFonts w:ascii="楷体" w:hAnsi="楷体" w:eastAsia="楷体" w:cs="楷体"/>
          <w:sz w:val="43"/>
          <w:szCs w:val="43"/>
        </w:rPr>
        <w:sectPr>
          <w:headerReference r:id="rId3" w:type="default"/>
          <w:pgSz w:w="11906" w:h="16839"/>
          <w:pgMar w:top="400" w:right="0" w:bottom="0" w:left="0" w:header="0" w:footer="0" w:gutter="0"/>
        </w:sectPr>
      </w:pPr>
    </w:p>
    <w:p>
      <w:pPr>
        <w:pStyle w:val="2"/>
        <w:spacing w:line="391" w:lineRule="auto"/>
      </w:pPr>
    </w:p>
    <w:p>
      <w:pPr>
        <w:spacing w:line="969" w:lineRule="exact"/>
      </w:pPr>
      <w:r>
        <w:rPr>
          <w:position w:val="-19"/>
        </w:rPr>
        <w:pict>
          <v:group id="_x0000_s1026" o:spid="_x0000_s1026" o:spt="203" style="height:48.45pt;width:248.55pt;" coordsize="4971,969">
            <o:lock v:ext="edit"/>
            <v:rect id="_x0000_s1027" o:spid="_x0000_s1027" o:spt="1" style="position:absolute;left:0;top:0;height:785;width:4971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75" type="#_x0000_t75" style="position:absolute;left:0;top:179;height:790;width:4891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029" o:spid="_x0000_s1029" o:spt="202" type="#_x0000_t202" style="position:absolute;left:154;top:402;height:417;width:42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jc w:val="right"/>
                      <w:rPr>
                        <w:rFonts w:ascii="楷体" w:hAnsi="楷体" w:eastAsia="楷体" w:cs="楷体"/>
                        <w:sz w:val="35"/>
                        <w:szCs w:val="35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5"/>
                        <w:szCs w:val="35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5"/>
                        <w:szCs w:val="35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z w:val="35"/>
                        <w:szCs w:val="35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5"/>
                        <w:szCs w:val="35"/>
                      </w:rPr>
                      <w:t>目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44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z w:val="35"/>
                        <w:szCs w:val="35"/>
                      </w:rPr>
                      <w:t>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52" w:line="222" w:lineRule="auto"/>
        <w:ind w:left="5143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42"/>
          <w:sz w:val="47"/>
          <w:szCs w:val="47"/>
        </w:rPr>
        <w:t>目</w:t>
      </w:r>
      <w:r>
        <w:rPr>
          <w:rFonts w:ascii="黑体" w:hAnsi="黑体" w:eastAsia="黑体" w:cs="黑体"/>
          <w:spacing w:val="13"/>
          <w:sz w:val="47"/>
          <w:szCs w:val="47"/>
        </w:rPr>
        <w:t xml:space="preserve">    </w:t>
      </w:r>
      <w:r>
        <w:rPr>
          <w:rFonts w:ascii="黑体" w:hAnsi="黑体" w:eastAsia="黑体" w:cs="黑体"/>
          <w:spacing w:val="-42"/>
          <w:sz w:val="47"/>
          <w:szCs w:val="47"/>
        </w:rPr>
        <w:t>录</w:t>
      </w:r>
    </w:p>
    <w:p>
      <w:pPr>
        <w:spacing w:before="238" w:line="222" w:lineRule="auto"/>
        <w:ind w:left="22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 部门概况</w:t>
      </w:r>
    </w:p>
    <w:p>
      <w:pPr>
        <w:pStyle w:val="2"/>
        <w:spacing w:line="262" w:lineRule="auto"/>
      </w:pPr>
    </w:p>
    <w:p>
      <w:pPr>
        <w:spacing w:before="101" w:line="222" w:lineRule="auto"/>
        <w:ind w:left="28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一、部门职责</w:t>
      </w:r>
    </w:p>
    <w:p>
      <w:pPr>
        <w:pStyle w:val="2"/>
        <w:spacing w:line="267" w:lineRule="auto"/>
      </w:pPr>
    </w:p>
    <w:p>
      <w:pPr>
        <w:spacing w:before="102" w:line="222" w:lineRule="auto"/>
        <w:ind w:left="28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>
      <w:pPr>
        <w:pStyle w:val="2"/>
        <w:spacing w:line="263" w:lineRule="auto"/>
      </w:pPr>
    </w:p>
    <w:p>
      <w:pPr>
        <w:spacing w:before="101" w:line="223" w:lineRule="auto"/>
        <w:ind w:left="22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 xml:space="preserve">第二部分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2018 </w:t>
      </w:r>
      <w:r>
        <w:rPr>
          <w:rFonts w:ascii="黑体" w:hAnsi="黑体" w:eastAsia="黑体" w:cs="黑体"/>
          <w:spacing w:val="6"/>
          <w:sz w:val="31"/>
          <w:szCs w:val="31"/>
        </w:rPr>
        <w:t>年度部门决算报表</w:t>
      </w:r>
    </w:p>
    <w:p>
      <w:pPr>
        <w:pStyle w:val="2"/>
        <w:spacing w:line="261" w:lineRule="auto"/>
      </w:pPr>
    </w:p>
    <w:p>
      <w:pPr>
        <w:spacing w:before="101" w:line="222" w:lineRule="auto"/>
        <w:ind w:left="29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一、收入支出决算总表</w:t>
      </w:r>
    </w:p>
    <w:p>
      <w:pPr>
        <w:pStyle w:val="2"/>
        <w:spacing w:line="266" w:lineRule="auto"/>
      </w:pPr>
    </w:p>
    <w:p>
      <w:pPr>
        <w:spacing w:before="101" w:line="222" w:lineRule="auto"/>
        <w:ind w:left="28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pStyle w:val="2"/>
        <w:spacing w:line="264" w:lineRule="auto"/>
      </w:pPr>
    </w:p>
    <w:p>
      <w:pPr>
        <w:spacing w:before="101" w:line="222" w:lineRule="auto"/>
        <w:ind w:left="2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三、支出决算表</w:t>
      </w:r>
    </w:p>
    <w:p>
      <w:pPr>
        <w:pStyle w:val="2"/>
        <w:spacing w:line="264" w:lineRule="auto"/>
      </w:pPr>
    </w:p>
    <w:p>
      <w:pPr>
        <w:spacing w:before="101" w:line="222" w:lineRule="auto"/>
        <w:ind w:left="29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四、财政拨款收入支出决算总表</w:t>
      </w:r>
    </w:p>
    <w:p>
      <w:pPr>
        <w:pStyle w:val="2"/>
        <w:spacing w:line="266" w:lineRule="auto"/>
      </w:pPr>
    </w:p>
    <w:p>
      <w:pPr>
        <w:spacing w:before="101" w:line="222" w:lineRule="auto"/>
        <w:ind w:left="28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pStyle w:val="2"/>
        <w:spacing w:line="264" w:lineRule="auto"/>
      </w:pPr>
    </w:p>
    <w:p>
      <w:pPr>
        <w:spacing w:before="101" w:line="222" w:lineRule="auto"/>
        <w:ind w:left="28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六、一般公共预算财政拨款基本支出决算表</w:t>
      </w:r>
    </w:p>
    <w:p>
      <w:pPr>
        <w:pStyle w:val="2"/>
        <w:spacing w:line="264" w:lineRule="auto"/>
      </w:pPr>
    </w:p>
    <w:p>
      <w:pPr>
        <w:spacing w:before="101" w:line="222" w:lineRule="auto"/>
        <w:ind w:left="28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经费支出决算表</w:t>
      </w:r>
    </w:p>
    <w:p>
      <w:pPr>
        <w:pStyle w:val="2"/>
        <w:spacing w:line="267" w:lineRule="auto"/>
      </w:pPr>
    </w:p>
    <w:p>
      <w:pPr>
        <w:spacing w:before="101" w:line="220" w:lineRule="auto"/>
        <w:ind w:left="28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八、政府性基金预算财政拨款收入支出决算表</w:t>
      </w:r>
    </w:p>
    <w:p>
      <w:pPr>
        <w:pStyle w:val="2"/>
        <w:spacing w:line="266" w:lineRule="auto"/>
      </w:pPr>
    </w:p>
    <w:p>
      <w:pPr>
        <w:spacing w:before="101" w:line="222" w:lineRule="auto"/>
        <w:ind w:left="28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九、国有资本经营预算财政拨款支出决算表</w:t>
      </w:r>
    </w:p>
    <w:p>
      <w:pPr>
        <w:pStyle w:val="2"/>
        <w:spacing w:line="265" w:lineRule="auto"/>
      </w:pPr>
    </w:p>
    <w:p>
      <w:pPr>
        <w:spacing w:before="101" w:line="222" w:lineRule="auto"/>
        <w:ind w:left="28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十、政府采购情况表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4" w:type="default"/>
          <w:footerReference r:id="rId5" w:type="default"/>
          <w:pgSz w:w="11906" w:h="16839"/>
          <w:pgMar w:top="400" w:right="1785" w:bottom="2108" w:left="0" w:header="0" w:footer="1939" w:gutter="0"/>
        </w:sectPr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770" w:lineRule="exact"/>
        <w:ind w:firstLine="14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3105785" cy="5016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5"/>
        </w:rPr>
        <w:pict>
          <v:shape id="_x0000_s1030" o:spid="_x0000_s1030" o:spt="202" type="#_x0000_t202" style="height:38.55pt;width:249.85pt;" fillcolor="#D8D8D8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13" w:line="231" w:lineRule="auto"/>
                    <w:ind w:left="159"/>
                    <w:rPr>
                      <w:rFonts w:ascii="楷体" w:hAnsi="楷体" w:eastAsia="楷体" w:cs="楷体"/>
                      <w:sz w:val="35"/>
                      <w:szCs w:val="35"/>
                    </w:rPr>
                  </w:pPr>
                  <w:r>
                    <w:rPr>
                      <w:rFonts w:ascii="楷体" w:hAnsi="楷体" w:eastAsia="楷体" w:cs="楷体"/>
                      <w:b/>
                      <w:bCs/>
                      <w:color w:val="FDEFBE"/>
                      <w:spacing w:val="3"/>
                      <w:sz w:val="35"/>
                      <w:szCs w:val="35"/>
                    </w:rPr>
                    <w:t>2018</w:t>
                  </w:r>
                  <w:r>
                    <w:rPr>
                      <w:rFonts w:ascii="楷体" w:hAnsi="楷体" w:eastAsia="楷体" w:cs="楷体"/>
                      <w:color w:val="FDEFBE"/>
                      <w:spacing w:val="-69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b/>
                      <w:bCs/>
                      <w:color w:val="FDEFBE"/>
                      <w:spacing w:val="3"/>
                      <w:sz w:val="35"/>
                      <w:szCs w:val="35"/>
                    </w:rPr>
                    <w:t>年度部门决算</w:t>
                  </w:r>
                  <w:r>
                    <w:rPr>
                      <w:rFonts w:ascii="Gulim" w:hAnsi="Gulim" w:eastAsia="Gulim" w:cs="Gulim"/>
                      <w:b/>
                      <w:bCs/>
                      <w:color w:val="FDEFBE"/>
                      <w:spacing w:val="3"/>
                      <w:sz w:val="35"/>
                      <w:szCs w:val="35"/>
                    </w:rPr>
                    <w:t>☞</w:t>
                  </w:r>
                  <w:r>
                    <w:rPr>
                      <w:rFonts w:ascii="楷体" w:hAnsi="楷体" w:eastAsia="楷体" w:cs="楷体"/>
                      <w:b/>
                      <w:bCs/>
                      <w:color w:val="FDEFBE"/>
                      <w:spacing w:val="3"/>
                      <w:sz w:val="35"/>
                      <w:szCs w:val="35"/>
                    </w:rPr>
                    <w:t>目</w:t>
                  </w:r>
                  <w:r>
                    <w:rPr>
                      <w:rFonts w:ascii="楷体" w:hAnsi="楷体" w:eastAsia="楷体" w:cs="楷体"/>
                      <w:color w:val="FDEFBE"/>
                      <w:spacing w:val="44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b/>
                      <w:bCs/>
                      <w:color w:val="FDEFBE"/>
                      <w:spacing w:val="3"/>
                      <w:sz w:val="35"/>
                      <w:szCs w:val="35"/>
                    </w:rPr>
                    <w:t>录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25" w:lineRule="auto"/>
      </w:pPr>
    </w:p>
    <w:p>
      <w:pPr>
        <w:pStyle w:val="2"/>
        <w:spacing w:line="326" w:lineRule="auto"/>
      </w:pPr>
    </w:p>
    <w:p>
      <w:pPr>
        <w:spacing w:before="101" w:line="222" w:lineRule="auto"/>
        <w:ind w:right="43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 昌黎县体育管理中心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年部门决算情况说明</w:t>
      </w:r>
    </w:p>
    <w:p>
      <w:pPr>
        <w:pStyle w:val="2"/>
        <w:spacing w:line="262" w:lineRule="auto"/>
      </w:pPr>
    </w:p>
    <w:p>
      <w:pPr>
        <w:spacing w:before="101" w:line="222" w:lineRule="auto"/>
        <w:ind w:left="2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一、收入支出决算总体情况说明</w:t>
      </w:r>
    </w:p>
    <w:p>
      <w:pPr>
        <w:pStyle w:val="2"/>
        <w:spacing w:line="264" w:lineRule="auto"/>
      </w:pPr>
    </w:p>
    <w:p>
      <w:pPr>
        <w:spacing w:before="100" w:line="222" w:lineRule="auto"/>
        <w:ind w:left="2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pStyle w:val="2"/>
        <w:spacing w:line="266" w:lineRule="auto"/>
      </w:pPr>
    </w:p>
    <w:p>
      <w:pPr>
        <w:spacing w:before="101" w:line="222" w:lineRule="auto"/>
        <w:ind w:left="2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pStyle w:val="2"/>
        <w:spacing w:line="264" w:lineRule="auto"/>
      </w:pPr>
    </w:p>
    <w:p>
      <w:pPr>
        <w:spacing w:before="101" w:line="222" w:lineRule="auto"/>
        <w:ind w:left="2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四、财政拨款收入支出决算情况说明</w:t>
      </w:r>
    </w:p>
    <w:p>
      <w:pPr>
        <w:pStyle w:val="2"/>
        <w:spacing w:line="264" w:lineRule="auto"/>
      </w:pPr>
    </w:p>
    <w:p>
      <w:pPr>
        <w:spacing w:before="100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五、一般公共预算财政拨款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经费支出决算情况说明</w:t>
      </w:r>
    </w:p>
    <w:p>
      <w:pPr>
        <w:pStyle w:val="2"/>
        <w:spacing w:line="266" w:lineRule="auto"/>
      </w:pPr>
    </w:p>
    <w:p>
      <w:pPr>
        <w:spacing w:before="102" w:line="222" w:lineRule="auto"/>
        <w:ind w:left="2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六、预算绩效情况说明</w:t>
      </w:r>
    </w:p>
    <w:p>
      <w:pPr>
        <w:pStyle w:val="2"/>
        <w:spacing w:line="264" w:lineRule="auto"/>
      </w:pPr>
    </w:p>
    <w:p>
      <w:pPr>
        <w:spacing w:before="100" w:line="222" w:lineRule="auto"/>
        <w:ind w:left="2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七、其他重要事项的说明</w:t>
      </w:r>
    </w:p>
    <w:p>
      <w:pPr>
        <w:pStyle w:val="2"/>
        <w:spacing w:line="264" w:lineRule="auto"/>
      </w:pPr>
    </w:p>
    <w:p>
      <w:pPr>
        <w:spacing w:before="102" w:line="223" w:lineRule="auto"/>
        <w:ind w:left="22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第四部分名词解释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400" w:right="1475" w:bottom="2108" w:left="0" w:header="0" w:footer="1939" w:gutter="0"/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308" w:line="219" w:lineRule="auto"/>
        <w:ind w:left="1520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2"/>
          <w:sz w:val="95"/>
          <w:szCs w:val="95"/>
        </w:rPr>
        <w:t>第一部分  部门概况</w:t>
      </w:r>
    </w:p>
    <w:p>
      <w:pPr>
        <w:spacing w:line="219" w:lineRule="auto"/>
        <w:rPr>
          <w:rFonts w:ascii="黑体" w:hAnsi="黑体" w:eastAsia="黑体" w:cs="黑体"/>
          <w:sz w:val="95"/>
          <w:szCs w:val="95"/>
        </w:rPr>
        <w:sectPr>
          <w:headerReference r:id="rId7" w:type="default"/>
          <w:footerReference r:id="rId8" w:type="default"/>
          <w:pgSz w:w="11906" w:h="16839"/>
          <w:pgMar w:top="400" w:right="0" w:bottom="400" w:left="0" w:header="0" w:footer="0" w:gutter="0"/>
        </w:sectPr>
      </w:pPr>
    </w:p>
    <w:p>
      <w:pPr>
        <w:pStyle w:val="2"/>
        <w:spacing w:line="387" w:lineRule="auto"/>
      </w:pPr>
    </w:p>
    <w:p>
      <w:pPr>
        <w:spacing w:line="954" w:lineRule="exact"/>
      </w:pPr>
      <w:r>
        <w:rPr>
          <w:position w:val="-19"/>
        </w:rPr>
        <w:pict>
          <v:group id="_x0000_s1031" o:spid="_x0000_s1031" o:spt="203" style="height:47.75pt;width:243.85pt;" coordsize="4877,955">
            <o:lock v:ext="edit"/>
            <v:rect id="_x0000_s1032" o:spid="_x0000_s1032" o:spt="1" style="position:absolute;left:0;top:0;height:785;width:4877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75" type="#_x0000_t75" style="position:absolute;left:0;top:164;height:790;width:4783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34" o:spid="_x0000_s1034" o:spt="202" type="#_x0000_t202" style="position:absolute;left:141;top:408;height:374;width:42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ind w:left="20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4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0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4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4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4"/>
                        <w:sz w:val="31"/>
                        <w:szCs w:val="31"/>
                      </w:rPr>
                      <w:t>部门概况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1" w:line="222" w:lineRule="auto"/>
        <w:ind w:left="22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spacing w:before="232" w:line="347" w:lineRule="auto"/>
        <w:ind w:left="1618" w:right="317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昌黎县体育管理中心主要承担对全县体育事业的管理、监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督、指导和体育活动的组织、训练等职能。</w:t>
      </w:r>
    </w:p>
    <w:p>
      <w:pPr>
        <w:spacing w:before="175" w:line="223" w:lineRule="auto"/>
        <w:ind w:left="22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二、机构设置</w:t>
      </w:r>
    </w:p>
    <w:p>
      <w:pPr>
        <w:spacing w:before="201" w:line="336" w:lineRule="auto"/>
        <w:ind w:left="1614" w:right="31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从决算编报单位构成看，纳入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 年度本部门决算汇编范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围的独立核算单位（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以下简称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“单位”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）共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个，具体情况如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下：</w:t>
      </w:r>
    </w:p>
    <w:p>
      <w:pPr>
        <w:spacing w:line="26" w:lineRule="exact"/>
      </w:pPr>
    </w:p>
    <w:tbl>
      <w:tblPr>
        <w:tblStyle w:val="5"/>
        <w:tblW w:w="9584" w:type="dxa"/>
        <w:tblInd w:w="1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3483"/>
        <w:gridCol w:w="2444"/>
        <w:gridCol w:w="26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89" w:type="dxa"/>
            <w:vAlign w:val="top"/>
          </w:tcPr>
          <w:p>
            <w:pPr>
              <w:spacing w:before="259" w:line="218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3483" w:type="dxa"/>
            <w:vAlign w:val="top"/>
          </w:tcPr>
          <w:p>
            <w:pPr>
              <w:spacing w:before="260" w:line="216" w:lineRule="auto"/>
              <w:ind w:left="1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单位名称</w:t>
            </w:r>
          </w:p>
        </w:tc>
        <w:tc>
          <w:tcPr>
            <w:tcW w:w="2444" w:type="dxa"/>
            <w:vAlign w:val="top"/>
          </w:tcPr>
          <w:p>
            <w:pPr>
              <w:spacing w:before="259" w:line="216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单位基本性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质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质</w:t>
            </w:r>
          </w:p>
        </w:tc>
        <w:tc>
          <w:tcPr>
            <w:tcW w:w="2668" w:type="dxa"/>
            <w:vAlign w:val="top"/>
          </w:tcPr>
          <w:p>
            <w:pPr>
              <w:spacing w:before="259" w:line="219" w:lineRule="auto"/>
              <w:ind w:left="7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经费形式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89" w:type="dxa"/>
            <w:vAlign w:val="top"/>
          </w:tcPr>
          <w:p>
            <w:pPr>
              <w:spacing w:before="248" w:line="180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top"/>
          </w:tcPr>
          <w:p>
            <w:pPr>
              <w:spacing w:before="211" w:line="218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昌黎县体育管理中心</w:t>
            </w:r>
          </w:p>
        </w:tc>
        <w:tc>
          <w:tcPr>
            <w:tcW w:w="2444" w:type="dxa"/>
            <w:vAlign w:val="top"/>
          </w:tcPr>
          <w:p>
            <w:pPr>
              <w:spacing w:before="212" w:line="216" w:lineRule="auto"/>
              <w:ind w:left="6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事业单位</w:t>
            </w:r>
          </w:p>
        </w:tc>
        <w:tc>
          <w:tcPr>
            <w:tcW w:w="2668" w:type="dxa"/>
            <w:vAlign w:val="top"/>
          </w:tcPr>
          <w:p>
            <w:pPr>
              <w:spacing w:before="211" w:line="219" w:lineRule="auto"/>
              <w:ind w:left="7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财政拨款</w:t>
            </w:r>
          </w:p>
        </w:tc>
      </w:tr>
    </w:tbl>
    <w:p>
      <w:pPr>
        <w:spacing w:before="191" w:line="228" w:lineRule="auto"/>
        <w:ind w:left="2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昌黎县体育管理中心下设办公室和体育管理经营办</w:t>
      </w:r>
      <w:r>
        <w:rPr>
          <w:rFonts w:ascii="仿宋" w:hAnsi="仿宋" w:eastAsia="仿宋" w:cs="仿宋"/>
          <w:spacing w:val="6"/>
          <w:sz w:val="31"/>
          <w:szCs w:val="31"/>
        </w:rPr>
        <w:t>公室。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headerReference r:id="rId9" w:type="default"/>
          <w:footerReference r:id="rId10" w:type="default"/>
          <w:pgSz w:w="11906" w:h="16839"/>
          <w:pgMar w:top="400" w:right="1158" w:bottom="2113" w:left="0" w:header="0" w:footer="1939" w:gutter="0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309" w:line="220" w:lineRule="auto"/>
        <w:ind w:left="4150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-6"/>
          <w:sz w:val="95"/>
          <w:szCs w:val="95"/>
        </w:rPr>
        <w:t>第二部分</w:t>
      </w:r>
    </w:p>
    <w:p>
      <w:pPr>
        <w:spacing w:before="226" w:line="220" w:lineRule="auto"/>
        <w:ind w:left="1132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-1"/>
          <w:sz w:val="95"/>
          <w:szCs w:val="95"/>
        </w:rPr>
        <w:t>2018</w:t>
      </w:r>
      <w:r>
        <w:rPr>
          <w:rFonts w:ascii="黑体" w:hAnsi="黑体" w:eastAsia="黑体" w:cs="黑体"/>
          <w:color w:val="FDEFBE"/>
          <w:spacing w:val="-170"/>
          <w:sz w:val="95"/>
          <w:szCs w:val="95"/>
        </w:rPr>
        <w:t xml:space="preserve"> </w:t>
      </w:r>
      <w:r>
        <w:rPr>
          <w:rFonts w:ascii="黑体" w:hAnsi="黑体" w:eastAsia="黑体" w:cs="黑体"/>
          <w:color w:val="FDEFBE"/>
          <w:spacing w:val="-1"/>
          <w:sz w:val="95"/>
          <w:szCs w:val="95"/>
        </w:rPr>
        <w:t>年度部门决算报表</w:t>
      </w:r>
    </w:p>
    <w:p>
      <w:pPr>
        <w:spacing w:line="220" w:lineRule="auto"/>
        <w:rPr>
          <w:rFonts w:ascii="黑体" w:hAnsi="黑体" w:eastAsia="黑体" w:cs="黑体"/>
          <w:sz w:val="95"/>
          <w:szCs w:val="95"/>
        </w:rPr>
        <w:sectPr>
          <w:headerReference r:id="rId11" w:type="default"/>
          <w:footerReference r:id="rId12" w:type="default"/>
          <w:pgSz w:w="11906" w:h="16839"/>
          <w:pgMar w:top="400" w:right="30" w:bottom="400" w:left="0" w:header="0" w:footer="0" w:gutter="0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921" w:lineRule="exact"/>
      </w:pPr>
      <w:r>
        <w:rPr>
          <w:position w:val="-18"/>
        </w:rPr>
        <w:pict>
          <v:group id="_x0000_s1035" o:spid="_x0000_s1035" o:spt="203" style="height:46.05pt;width:276.25pt;" coordsize="5525,920">
            <o:lock v:ext="edit"/>
            <v:shape id="_x0000_s1036" o:spid="_x0000_s1036" o:spt="75" type="#_x0000_t75" style="position:absolute;left:0;top:0;height:920;width:5525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37" o:spid="_x0000_s1037" o:spt="202" type="#_x0000_t202" style="position:absolute;left:-20;top:-20;height:960;width:55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0" w:line="231" w:lineRule="auto"/>
                      <w:ind w:left="214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9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部门决算报表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33" w:lineRule="auto"/>
      </w:pPr>
    </w:p>
    <w:p>
      <w:pPr>
        <w:pStyle w:val="2"/>
        <w:spacing w:line="334" w:lineRule="auto"/>
      </w:pPr>
    </w:p>
    <w:p>
      <w:pPr>
        <w:spacing w:before="101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详见：昌黎县体育管理中心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年度部门决算公开报表（</w:t>
      </w:r>
      <w:r>
        <w:rPr>
          <w:rFonts w:ascii="仿宋" w:hAnsi="仿宋" w:eastAsia="仿宋" w:cs="仿宋"/>
          <w:spacing w:val="-2"/>
          <w:sz w:val="31"/>
          <w:szCs w:val="31"/>
        </w:rPr>
        <w:t>10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张）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headerReference r:id="rId13" w:type="default"/>
          <w:footerReference r:id="rId14" w:type="default"/>
          <w:pgSz w:w="11906" w:h="16839"/>
          <w:pgMar w:top="400" w:right="1340" w:bottom="2107" w:left="970" w:header="0" w:footer="1939" w:gutter="0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309" w:line="220" w:lineRule="auto"/>
        <w:ind w:left="4119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-6"/>
          <w:sz w:val="95"/>
          <w:szCs w:val="95"/>
        </w:rPr>
        <w:t>第三部分</w:t>
      </w:r>
    </w:p>
    <w:p>
      <w:pPr>
        <w:spacing w:before="230" w:line="219" w:lineRule="auto"/>
        <w:ind w:left="2184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3"/>
          <w:sz w:val="95"/>
          <w:szCs w:val="95"/>
        </w:rPr>
        <w:t>部门决算情况说明</w:t>
      </w:r>
    </w:p>
    <w:p>
      <w:pPr>
        <w:spacing w:line="219" w:lineRule="auto"/>
        <w:rPr>
          <w:rFonts w:ascii="黑体" w:hAnsi="黑体" w:eastAsia="黑体" w:cs="黑体"/>
          <w:sz w:val="95"/>
          <w:szCs w:val="95"/>
        </w:rPr>
        <w:sectPr>
          <w:headerReference r:id="rId15" w:type="default"/>
          <w:footerReference r:id="rId16" w:type="default"/>
          <w:pgSz w:w="11906" w:h="16839"/>
          <w:pgMar w:top="400" w:right="16" w:bottom="400" w:left="0" w:header="0" w:footer="0" w:gutter="0"/>
        </w:sectPr>
      </w:pPr>
    </w:p>
    <w:p>
      <w:pPr>
        <w:spacing w:before="185" w:line="899" w:lineRule="exact"/>
      </w:pPr>
      <w:r>
        <w:rPr>
          <w:position w:val="-17"/>
        </w:rPr>
        <w:pict>
          <v:group id="_x0000_s1038" o:spid="_x0000_s1038" o:spt="203" style="height:45pt;width:301.35pt;" coordsize="6027,900">
            <o:lock v:ext="edit"/>
            <v:rect id="_x0000_s1039" o:spid="_x0000_s1039" o:spt="1" style="position:absolute;left:0;top:0;height:740;width:6027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0" o:spid="_x0000_s1040" o:spt="75" type="#_x0000_t75" style="position:absolute;left:0;top:153;height:745;width:5907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41" o:spid="_x0000_s1041" o:spt="202" type="#_x0000_t202" style="position:absolute;left:160;top:396;height:374;width:55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ind w:left="20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部门决算情况说明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101" w:line="222" w:lineRule="auto"/>
        <w:ind w:left="22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06" w:line="339" w:lineRule="auto"/>
        <w:ind w:left="1614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本部门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年度收支总计（含结转和结余）202.49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年度决算相比，收支各减少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89.17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万元，下降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30.57%，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主要原因是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2018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年度非税收入应返还部分财政未拨付，项目经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费未列支。</w:t>
      </w:r>
    </w:p>
    <w:p>
      <w:pPr>
        <w:spacing w:before="45" w:line="222" w:lineRule="auto"/>
        <w:ind w:left="224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二、收入决算情况说明</w:t>
      </w:r>
    </w:p>
    <w:p>
      <w:pPr>
        <w:spacing w:before="206" w:line="331" w:lineRule="auto"/>
        <w:ind w:left="1624" w:right="2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年度本年收入合计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189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收入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189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100%。</w:t>
      </w:r>
    </w:p>
    <w:p>
      <w:pPr>
        <w:spacing w:before="50" w:line="222" w:lineRule="auto"/>
        <w:ind w:left="22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三、支出决算情况说明</w:t>
      </w:r>
    </w:p>
    <w:p>
      <w:pPr>
        <w:spacing w:before="205" w:line="331" w:lineRule="auto"/>
        <w:ind w:left="1642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本部门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年度本年支出合计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139</w:t>
      </w:r>
      <w:r>
        <w:rPr>
          <w:rFonts w:ascii="宋体" w:hAnsi="宋体" w:eastAsia="宋体" w:cs="宋体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01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万元，其中：基本支 </w:t>
      </w:r>
      <w:r>
        <w:rPr>
          <w:rFonts w:ascii="仿宋" w:hAnsi="仿宋" w:eastAsia="仿宋" w:cs="仿宋"/>
          <w:spacing w:val="-4"/>
          <w:sz w:val="31"/>
          <w:szCs w:val="31"/>
        </w:rPr>
        <w:t>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81</w:t>
      </w:r>
      <w:r>
        <w:rPr>
          <w:rFonts w:ascii="宋体" w:hAnsi="宋体" w:eastAsia="宋体" w:cs="宋体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02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58</w:t>
      </w:r>
      <w:r>
        <w:rPr>
          <w:rFonts w:ascii="宋体" w:hAnsi="宋体" w:eastAsia="宋体" w:cs="宋体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3%；项目支出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57</w:t>
      </w:r>
      <w:r>
        <w:rPr>
          <w:rFonts w:ascii="宋体" w:hAnsi="宋体" w:eastAsia="宋体" w:cs="宋体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99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41</w:t>
      </w:r>
      <w:r>
        <w:rPr>
          <w:rFonts w:ascii="宋体" w:hAnsi="宋体" w:eastAsia="宋体" w:cs="宋体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7%。</w:t>
      </w:r>
    </w:p>
    <w:p>
      <w:pPr>
        <w:spacing w:before="50" w:line="222" w:lineRule="auto"/>
        <w:ind w:left="22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四、财政拨款收入支出决算情况说明</w:t>
      </w:r>
    </w:p>
    <w:p>
      <w:pPr>
        <w:spacing w:before="204" w:line="335" w:lineRule="auto"/>
        <w:ind w:left="1605" w:right="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2018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年度财政拨款本年收入合计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189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万元，财政拨款本年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支出合计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139</w:t>
      </w:r>
      <w:r>
        <w:rPr>
          <w:rFonts w:ascii="宋体" w:hAnsi="宋体" w:eastAsia="宋体" w:cs="宋体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01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万元，年初财政拨款结转</w:t>
      </w:r>
      <w:r>
        <w:rPr>
          <w:rFonts w:ascii="仿宋" w:hAnsi="仿宋" w:eastAsia="仿宋" w:cs="仿宋"/>
          <w:spacing w:val="4"/>
          <w:sz w:val="31"/>
          <w:szCs w:val="31"/>
        </w:rPr>
        <w:t>和结余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13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49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年末财政拨款结转和结余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63.48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before="52" w:line="231" w:lineRule="auto"/>
        <w:ind w:left="22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（一）财政拨款收支与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2017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年度决算对比情况</w:t>
      </w:r>
    </w:p>
    <w:p>
      <w:pPr>
        <w:spacing w:before="190" w:line="340" w:lineRule="auto"/>
        <w:ind w:left="1598" w:right="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本部门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189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万元,比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5%，原因是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</w:t>
      </w:r>
      <w:r>
        <w:rPr>
          <w:rFonts w:ascii="仿宋" w:hAnsi="仿宋" w:eastAsia="仿宋" w:cs="仿宋"/>
          <w:spacing w:val="6"/>
          <w:sz w:val="31"/>
          <w:szCs w:val="31"/>
        </w:rPr>
        <w:t>8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年度非税收入应返还部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分财政未拨付；本年支出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139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01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年度减少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36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77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万元，减少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9%，原因是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2018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年度部分体育活动安排时间较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晚，项目经费未列支。</w:t>
      </w:r>
    </w:p>
    <w:p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headerReference r:id="rId17" w:type="default"/>
          <w:footerReference r:id="rId18" w:type="default"/>
          <w:pgSz w:w="11906" w:h="16839"/>
          <w:pgMar w:top="400" w:right="1473" w:bottom="2108" w:left="0" w:header="0" w:footer="1939" w:gutter="0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0" w:line="342" w:lineRule="auto"/>
        <w:ind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其中：一般公共预算财政拨款本年收入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80</w:t>
      </w:r>
      <w:r>
        <w:rPr>
          <w:rFonts w:ascii="宋体" w:hAnsi="宋体" w:eastAsia="宋体" w:cs="宋体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减少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17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万元；主要是原因是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年度非税收入应返还部分财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政未拨付。本年支出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81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02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95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，减少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</w:t>
      </w:r>
      <w:r>
        <w:rPr>
          <w:rFonts w:ascii="宋体" w:hAnsi="宋体" w:eastAsia="宋体" w:cs="宋体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9%，主要是厉行节约，压缩一般性支出。政府性基金预算财政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拨款本年收入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108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4%，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主要原因是省级体育彩票公益金转移支付拨款增加；本年支出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57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99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万元，比上年减少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28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82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万元，减少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33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2%，原因是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年度部分体育活动安排时间较晚，项目经费未列支。</w:t>
      </w:r>
    </w:p>
    <w:p>
      <w:pPr>
        <w:spacing w:before="42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（二）财政拨款收支与年初预算数对比情况</w:t>
      </w:r>
    </w:p>
    <w:p>
      <w:pPr>
        <w:spacing w:before="192" w:line="341" w:lineRule="auto"/>
        <w:ind w:left="11" w:right="8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189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万元，完成年初预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99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6%,比年初预算减少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74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3"/>
          <w:sz w:val="31"/>
          <w:szCs w:val="31"/>
        </w:rPr>
        <w:t>，决算数小于预算数主要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原因是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2018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年度非税收入应返还部分财政未</w:t>
      </w:r>
      <w:r>
        <w:rPr>
          <w:rFonts w:ascii="仿宋" w:hAnsi="仿宋" w:eastAsia="仿宋" w:cs="仿宋"/>
          <w:spacing w:val="18"/>
          <w:sz w:val="31"/>
          <w:szCs w:val="31"/>
        </w:rPr>
        <w:t>拨付；本年支出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139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01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73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2%,比年初预算减少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50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73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元，决算数小于预算数主要原因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年度部分体育活动安排时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间较晚，项目经费未列支。</w:t>
      </w:r>
    </w:p>
    <w:p>
      <w:pPr>
        <w:spacing w:before="42" w:line="339" w:lineRule="auto"/>
        <w:ind w:left="6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其中，一般公共预算财政拨款本年收入完成年</w:t>
      </w:r>
      <w:r>
        <w:rPr>
          <w:rFonts w:ascii="仿宋" w:hAnsi="仿宋" w:eastAsia="仿宋" w:cs="仿宋"/>
          <w:spacing w:val="3"/>
          <w:sz w:val="31"/>
          <w:szCs w:val="31"/>
        </w:rPr>
        <w:t>初预算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0%，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比年初预算减少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24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万元，原因是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年度非税收入应返还部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分财政未拨付；支出完成年初预算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90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2%，比年初预算减少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8.72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万元，主要原因是厉行节约，压缩一般性支出。政府性基金预算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财政拨款本年收入完成年初预算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108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5%，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8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</w:p>
    <w:p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400" w:right="1391" w:bottom="2108" w:left="1598" w:header="0" w:footer="1939" w:gutter="0"/>
        </w:sectPr>
      </w:pPr>
    </w:p>
    <w:p>
      <w:pPr>
        <w:spacing w:before="185" w:line="899" w:lineRule="exact"/>
      </w:pPr>
      <w:r>
        <w:rPr>
          <w:position w:val="-17"/>
        </w:rPr>
        <w:pict>
          <v:group id="_x0000_s1042" o:spid="_x0000_s1042" o:spt="203" style="height:45pt;width:301.35pt;" coordsize="6027,900">
            <o:lock v:ext="edit"/>
            <v:rect id="_x0000_s1043" o:spid="_x0000_s1043" o:spt="1" style="position:absolute;left:0;top:0;height:740;width:6027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0;top:153;height:745;width:5907;" fillcolor="#A9072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202" type="#_x0000_t202" style="position:absolute;left:160;top:396;height:374;width:55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ind w:left="20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部门决算情况说明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spacing w:before="101" w:line="336" w:lineRule="auto"/>
        <w:ind w:left="1605" w:right="97" w:firstLine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万元，原因是省级体育彩票公益金转移支付资金增加；支出完成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年初预算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58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0%，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比年初预算减少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42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01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万元，原因是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度部分体育活动安排时间较晚，项目经费未列支。</w:t>
      </w:r>
    </w:p>
    <w:p>
      <w:pPr>
        <w:spacing w:before="44" w:line="232" w:lineRule="auto"/>
        <w:ind w:left="20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（三）财政拨款支出决算结构情况</w:t>
      </w:r>
    </w:p>
    <w:p>
      <w:pPr>
        <w:spacing w:before="191" w:line="338" w:lineRule="auto"/>
        <w:ind w:left="1614" w:right="69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2018 年度财政拨款支出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139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01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万元，主要用于以下方面：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文化体育与传媒（类）支出:74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91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23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7%</w:t>
      </w:r>
      <w:r>
        <w:rPr>
          <w:rFonts w:ascii="仿宋" w:hAnsi="仿宋" w:eastAsia="仿宋" w:cs="仿宋"/>
          <w:spacing w:val="12"/>
          <w:sz w:val="31"/>
          <w:szCs w:val="31"/>
        </w:rPr>
        <w:t>；；</w:t>
      </w:r>
      <w:r>
        <w:rPr>
          <w:rFonts w:ascii="仿宋" w:hAnsi="仿宋" w:eastAsia="仿宋" w:cs="仿宋"/>
          <w:spacing w:val="1"/>
          <w:sz w:val="31"/>
          <w:szCs w:val="31"/>
        </w:rPr>
        <w:t>医疗卫生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与计划生育（类）支出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28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4%；住房保障（类）支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</w:t>
      </w:r>
      <w:r>
        <w:rPr>
          <w:rFonts w:ascii="宋体" w:hAnsi="宋体" w:eastAsia="宋体" w:cs="宋体"/>
          <w:spacing w:val="-3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84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2%;其他（类）支出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57</w:t>
      </w:r>
      <w:r>
        <w:rPr>
          <w:rFonts w:ascii="宋体" w:hAnsi="宋体" w:eastAsia="宋体" w:cs="宋体"/>
          <w:spacing w:val="-3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99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41</w:t>
      </w:r>
      <w:r>
        <w:rPr>
          <w:rFonts w:ascii="宋体" w:hAnsi="宋体" w:eastAsia="宋体" w:cs="宋体"/>
          <w:spacing w:val="-3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7%。</w:t>
      </w:r>
    </w:p>
    <w:p>
      <w:pPr>
        <w:spacing w:before="50" w:line="231" w:lineRule="auto"/>
        <w:ind w:left="20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（四）一般公共预算财政拨款基本支出决算情况说明</w:t>
      </w:r>
    </w:p>
    <w:p>
      <w:pPr>
        <w:spacing w:before="189" w:line="341" w:lineRule="auto"/>
        <w:ind w:left="159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2018 年度一般公共预算财政拨款基本支出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81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02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中：人员经费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71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7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万元，主要包括基本工资、津贴补贴、奖金、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绩效工资、机关事业单位基本养老保险缴费、职工基本医疗保险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缴费、公务员医疗补助缴费、其他社会保障缴费、住房公积金、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离休费、退休费、抚恤金、奖励金；公用经费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32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包括办公费、水费、电费、差旅费、维修（护）费</w:t>
      </w:r>
      <w:r>
        <w:rPr>
          <w:rFonts w:ascii="仿宋" w:hAnsi="仿宋" w:eastAsia="仿宋" w:cs="仿宋"/>
          <w:spacing w:val="5"/>
          <w:sz w:val="31"/>
          <w:szCs w:val="31"/>
        </w:rPr>
        <w:t>、租赁费、会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议费、培训费、公务接待费、劳务费、公务用车运行维护费。</w:t>
      </w:r>
    </w:p>
    <w:p>
      <w:pPr>
        <w:spacing w:before="56" w:line="222" w:lineRule="auto"/>
        <w:ind w:left="22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五、一般公共预算财政拨款“三公</w:t>
      </w:r>
      <w:r>
        <w:rPr>
          <w:rFonts w:ascii="黑体" w:hAnsi="黑体" w:eastAsia="黑体" w:cs="黑体"/>
          <w:spacing w:val="-1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” 经费支出</w:t>
      </w:r>
      <w:r>
        <w:rPr>
          <w:rFonts w:ascii="黑体" w:hAnsi="黑体" w:eastAsia="黑体" w:cs="黑体"/>
          <w:spacing w:val="8"/>
          <w:sz w:val="31"/>
          <w:szCs w:val="31"/>
        </w:rPr>
        <w:t>决算情况说</w:t>
      </w:r>
    </w:p>
    <w:p>
      <w:pPr>
        <w:spacing w:before="208" w:line="222" w:lineRule="auto"/>
        <w:ind w:left="1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>
      <w:pPr>
        <w:spacing w:before="203" w:line="336" w:lineRule="auto"/>
        <w:ind w:left="1613" w:right="13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本部门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三公”经费支出共计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宋体" w:hAnsi="宋体" w:eastAsia="宋体" w:cs="宋体"/>
          <w:spacing w:val="-1"/>
          <w:sz w:val="31"/>
          <w:szCs w:val="31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93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万元，较年初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11.27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万元，降低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85.37%，主要是认真贯</w:t>
      </w:r>
      <w:r>
        <w:rPr>
          <w:rFonts w:ascii="仿宋" w:hAnsi="仿宋" w:eastAsia="仿宋" w:cs="仿宋"/>
          <w:spacing w:val="7"/>
          <w:sz w:val="31"/>
          <w:szCs w:val="31"/>
        </w:rPr>
        <w:t>彻落实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中央八项规定</w:t>
      </w:r>
      <w:r>
        <w:rPr>
          <w:rFonts w:ascii="仿宋" w:hAnsi="仿宋" w:eastAsia="仿宋" w:cs="仿宋"/>
          <w:spacing w:val="-3"/>
          <w:sz w:val="31"/>
          <w:szCs w:val="31"/>
        </w:rPr>
        <w:t>精神和厉行节约要求，从严控制“三公”经</w:t>
      </w:r>
      <w:r>
        <w:rPr>
          <w:rFonts w:ascii="仿宋" w:hAnsi="仿宋" w:eastAsia="仿宋" w:cs="仿宋"/>
          <w:spacing w:val="-4"/>
          <w:sz w:val="31"/>
          <w:szCs w:val="31"/>
        </w:rPr>
        <w:t>费开支，</w:t>
      </w:r>
    </w:p>
    <w:p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400" w:right="1378" w:bottom="2108" w:left="0" w:header="0" w:footer="1939" w:gutter="0"/>
        </w:sectPr>
      </w:pPr>
    </w:p>
    <w:p>
      <w:pPr>
        <w:pStyle w:val="2"/>
        <w:spacing w:before="185" w:line="899" w:lineRule="exact"/>
      </w:pPr>
      <w:r>
        <w:rPr>
          <w:position w:val="-17"/>
        </w:rPr>
        <w:pict>
          <v:group id="_x0000_s1046" o:spid="_x0000_s1046" o:spt="203" style="height:45pt;width:301.35pt;" coordsize="6027,900">
            <o:lock v:ext="edit"/>
            <v:shape id="_x0000_s1047" o:spid="_x0000_s1047" o:spt="75" type="#_x0000_t75" style="position:absolute;left:0;top:0;height:900;width:602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048" o:spid="_x0000_s1048" o:spt="202" type="#_x0000_t202" style="position:absolute;left:-20;top:-20;height:940;width:60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31" w:lineRule="auto"/>
                      <w:ind w:left="200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部门决算情况说明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100" w:line="338" w:lineRule="auto"/>
        <w:ind w:left="1610" w:right="81" w:hanging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全年实际支出比预算有所节约。较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2017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年度决算数减少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32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元，降低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14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2%，原因是严格执行中央八项规定和省市关于</w:t>
      </w:r>
      <w:r>
        <w:rPr>
          <w:rFonts w:ascii="仿宋" w:hAnsi="仿宋" w:eastAsia="仿宋" w:cs="仿宋"/>
          <w:spacing w:val="5"/>
          <w:sz w:val="31"/>
          <w:szCs w:val="31"/>
        </w:rPr>
        <w:t>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勤俭节约的有关规定，规范审批程序，严格把关，控制三公经费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开支。具体情况如下：</w:t>
      </w:r>
    </w:p>
    <w:p>
      <w:pPr>
        <w:spacing w:before="47" w:line="339" w:lineRule="auto"/>
        <w:ind w:left="1613" w:right="79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（一）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因公出国（境）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费支出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万元。</w:t>
      </w:r>
      <w:r>
        <w:rPr>
          <w:rFonts w:ascii="仿宋" w:hAnsi="仿宋" w:eastAsia="仿宋" w:cs="仿宋"/>
          <w:spacing w:val="-1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公出国（境）团组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个，共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人，参加其他单位组织的因公出国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（境）团组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个，共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人，无本单位组织的出国</w:t>
      </w:r>
      <w:r>
        <w:rPr>
          <w:rFonts w:ascii="仿宋" w:hAnsi="仿宋" w:eastAsia="仿宋" w:cs="仿宋"/>
          <w:spacing w:val="1"/>
          <w:sz w:val="31"/>
          <w:szCs w:val="31"/>
        </w:rPr>
        <w:t>（境）团组。因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公出国（境）费支出与预算和上年没有变化，主要是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2018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年度没有该项预算及支出。</w:t>
      </w:r>
    </w:p>
    <w:p>
      <w:pPr>
        <w:spacing w:before="54" w:line="339" w:lineRule="auto"/>
        <w:ind w:left="1598" w:right="83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（二）公务用车购置及运行维护费支出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1.81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万元。</w:t>
      </w:r>
      <w:r>
        <w:rPr>
          <w:rFonts w:ascii="仿宋" w:hAnsi="仿宋" w:eastAsia="仿宋" w:cs="仿宋"/>
          <w:spacing w:val="4"/>
          <w:sz w:val="31"/>
          <w:szCs w:val="31"/>
        </w:rPr>
        <w:t>本部门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2018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年度公务用车购置及运行维护费较年初预算减少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宋体" w:hAnsi="宋体" w:eastAsia="宋体" w:cs="宋体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>99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元，降低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73</w:t>
      </w:r>
      <w:r>
        <w:rPr>
          <w:rFonts w:ascii="宋体" w:hAnsi="宋体" w:eastAsia="宋体" w:cs="宋体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3%,主要是认真贯彻落实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中央八项规定</w:t>
      </w:r>
      <w:r>
        <w:rPr>
          <w:rFonts w:ascii="仿宋" w:hAnsi="仿宋" w:eastAsia="仿宋" w:cs="仿宋"/>
          <w:spacing w:val="9"/>
          <w:sz w:val="31"/>
          <w:szCs w:val="31"/>
        </w:rPr>
        <w:t>精神和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厉行节约要求，从严控制公车购置费及运行费开支。较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201</w:t>
      </w:r>
      <w:r>
        <w:rPr>
          <w:rFonts w:ascii="仿宋" w:hAnsi="仿宋" w:eastAsia="仿宋" w:cs="仿宋"/>
          <w:spacing w:val="8"/>
          <w:sz w:val="31"/>
          <w:szCs w:val="31"/>
        </w:rPr>
        <w:t>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度决算数减少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44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万元，降低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19</w:t>
      </w:r>
      <w:r>
        <w:rPr>
          <w:rFonts w:ascii="宋体" w:hAnsi="宋体" w:eastAsia="宋体" w:cs="宋体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6%,主要原</w:t>
      </w:r>
      <w:r>
        <w:rPr>
          <w:rFonts w:ascii="仿宋" w:hAnsi="仿宋" w:eastAsia="仿宋" w:cs="仿宋"/>
          <w:spacing w:val="3"/>
          <w:sz w:val="31"/>
          <w:szCs w:val="31"/>
        </w:rPr>
        <w:t>因同上。</w:t>
      </w:r>
    </w:p>
    <w:p>
      <w:pPr>
        <w:spacing w:before="58" w:line="329" w:lineRule="auto"/>
        <w:ind w:left="161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公务用车购置费：</w:t>
      </w:r>
      <w:r>
        <w:rPr>
          <w:rFonts w:ascii="仿宋" w:hAnsi="仿宋" w:eastAsia="仿宋" w:cs="仿宋"/>
          <w:spacing w:val="-1"/>
          <w:sz w:val="31"/>
          <w:szCs w:val="31"/>
        </w:rPr>
        <w:t>本部门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年度无公务用车购置费支出，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与上年数持平，与年初预算持平。</w:t>
      </w:r>
    </w:p>
    <w:p>
      <w:pPr>
        <w:spacing w:before="55" w:line="338" w:lineRule="auto"/>
        <w:ind w:left="1601" w:right="7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公务用车运行维护费：</w:t>
      </w:r>
      <w:r>
        <w:rPr>
          <w:rFonts w:ascii="仿宋" w:hAnsi="仿宋" w:eastAsia="仿宋" w:cs="仿宋"/>
          <w:spacing w:val="7"/>
          <w:sz w:val="31"/>
          <w:szCs w:val="31"/>
        </w:rPr>
        <w:t>本部门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年度单位公务用车保有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辆。公车运行维护费支出较年初预算减少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</w:t>
      </w:r>
      <w:r>
        <w:rPr>
          <w:rFonts w:ascii="宋体" w:hAnsi="宋体" w:eastAsia="宋体" w:cs="宋体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99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万元，降低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73</w:t>
      </w:r>
      <w:r>
        <w:rPr>
          <w:rFonts w:ascii="宋体" w:hAnsi="宋体" w:eastAsia="宋体" w:cs="宋体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3%,主要是严格控制公车运行费开支。较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2017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pacing w:val="7"/>
          <w:sz w:val="31"/>
          <w:szCs w:val="31"/>
        </w:rPr>
        <w:t>度决算数减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少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44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万元，降低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19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6%,主要原因同上。</w:t>
      </w:r>
    </w:p>
    <w:p>
      <w:pPr>
        <w:spacing w:before="47" w:line="231" w:lineRule="auto"/>
        <w:ind w:left="22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（三）公务接待费支出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0.12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万元。</w:t>
      </w:r>
      <w:r>
        <w:rPr>
          <w:rFonts w:ascii="仿宋" w:hAnsi="仿宋" w:eastAsia="仿宋" w:cs="仿宋"/>
          <w:spacing w:val="-1"/>
          <w:sz w:val="31"/>
          <w:szCs w:val="31"/>
        </w:rPr>
        <w:t>本部门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</w:t>
      </w:r>
      <w:r>
        <w:rPr>
          <w:rFonts w:ascii="仿宋" w:hAnsi="仿宋" w:eastAsia="仿宋" w:cs="仿宋"/>
          <w:spacing w:val="-2"/>
          <w:sz w:val="31"/>
          <w:szCs w:val="31"/>
        </w:rPr>
        <w:t>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年度公务接</w:t>
      </w:r>
    </w:p>
    <w:p>
      <w:pPr>
        <w:spacing w:line="231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400" w:right="1391" w:bottom="2108" w:left="0" w:header="0" w:footer="1939" w:gutter="0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338" w:lineRule="auto"/>
        <w:ind w:right="8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待共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批次、28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人次。公务接待费支出较年初预算减少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38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元，降低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98</w:t>
      </w:r>
      <w:r>
        <w:rPr>
          <w:rFonts w:ascii="宋体" w:hAnsi="宋体" w:eastAsia="宋体" w:cs="宋体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2%,主要是认真贯彻落实</w:t>
      </w:r>
      <w:bookmarkStart w:id="0" w:name="_GoBack"/>
      <w:bookmarkEnd w:id="0"/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中央八项规定</w:t>
      </w:r>
      <w:r>
        <w:rPr>
          <w:rFonts w:ascii="仿宋" w:hAnsi="仿宋" w:eastAsia="仿宋" w:cs="仿宋"/>
          <w:spacing w:val="9"/>
          <w:sz w:val="31"/>
          <w:szCs w:val="31"/>
        </w:rPr>
        <w:t>精神和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厉行节约要求，严格控制公务接待费支出，接待批次减少，招待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人数减少。较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年度决算数增加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宋体" w:hAnsi="宋体" w:eastAsia="宋体" w:cs="宋体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12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100%,主要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是本年度接待上级检查较多。</w:t>
      </w:r>
    </w:p>
    <w:p>
      <w:pPr>
        <w:spacing w:before="62" w:line="222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六、预算绩效情况说明</w:t>
      </w:r>
    </w:p>
    <w:p>
      <w:pPr>
        <w:spacing w:before="202" w:line="229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（一）预算绩效管理工作开展情况。</w:t>
      </w:r>
    </w:p>
    <w:p>
      <w:pPr>
        <w:spacing w:before="192" w:line="340" w:lineRule="auto"/>
        <w:ind w:left="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按照昌黎县财政局关于印发《昌黎县财政局关于开展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年项目绩效自评》的通知文件精神，尽快落实项目绩效评价工作，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首先召集有关人员认真学习和领会文件精神，部署绩效评价工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作；其次，成立了以主管局长为组长，相关科室主管局长为副组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长，相关科室科长为成员的绩效评价工作领导小组，指定专人负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责，确保此项工作落到实处。</w:t>
      </w:r>
    </w:p>
    <w:p>
      <w:pPr>
        <w:spacing w:before="58" w:line="229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（二）项目绩效自评结果。</w:t>
      </w:r>
    </w:p>
    <w:p>
      <w:pPr>
        <w:spacing w:before="197" w:line="339" w:lineRule="auto"/>
        <w:ind w:left="8" w:right="8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组织实施：召开财政预算支出项目绩效评价工作</w:t>
      </w:r>
      <w:r>
        <w:rPr>
          <w:rFonts w:ascii="仿宋" w:hAnsi="仿宋" w:eastAsia="仿宋" w:cs="仿宋"/>
          <w:spacing w:val="4"/>
          <w:sz w:val="31"/>
          <w:szCs w:val="31"/>
        </w:rPr>
        <w:t>会议，填写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项目评价表。组织本单位熟悉业务的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名同志组成评价小组，负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责项目的绩效评价工作。通过对现场勘查、走访、电话约谈等方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式对此项目进行了更为深入的了解。组织编写项目绩效评价总体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报告，并报经领导小组审查通过后上报。</w:t>
      </w:r>
    </w:p>
    <w:p>
      <w:pPr>
        <w:spacing w:before="55" w:line="330" w:lineRule="auto"/>
        <w:ind w:left="62" w:right="83" w:firstLine="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分析评价：根据审阅相关资料和现场评价情况，专</w:t>
      </w:r>
      <w:r>
        <w:rPr>
          <w:rFonts w:ascii="仿宋" w:hAnsi="仿宋" w:eastAsia="仿宋" w:cs="仿宋"/>
          <w:spacing w:val="4"/>
          <w:sz w:val="31"/>
          <w:szCs w:val="31"/>
        </w:rPr>
        <w:t>家依据项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目绩效评价的有关规定，对项目总体情况进行科学、客观地分析</w:t>
      </w:r>
    </w:p>
    <w:p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400" w:right="1391" w:bottom="2108" w:left="1596" w:header="0" w:footer="1939" w:gutter="0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0" w:line="341" w:lineRule="auto"/>
        <w:ind w:left="127" w:right="71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评价，按照项目绩效评价方法规定的指标体系提取评价指标数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据，对项目进行量化评分，形成项目绩效评价的初步评价意见。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根据项目绩效评价的初步评价意见，评价小组集体讨论，从整体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上对项目进行把握定位，深入分析项目绩效成果和存在的不足，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与项目承担单位进行进一步沟通，对初步评价意见进行完善，形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成最终评价意见。</w:t>
      </w:r>
    </w:p>
    <w:p>
      <w:pPr>
        <w:spacing w:before="45" w:line="229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（三）部门决算量化评价说明。</w:t>
      </w:r>
    </w:p>
    <w:p>
      <w:pPr>
        <w:spacing w:before="163" w:line="306" w:lineRule="auto"/>
        <w:ind w:left="125" w:right="3100" w:firstLine="298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31"/>
          <w:szCs w:val="31"/>
        </w:rPr>
        <w:t>部门决算量化评价表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单位名称：昌黎县体育管理中心（汇总）</w:t>
      </w:r>
    </w:p>
    <w:tbl>
      <w:tblPr>
        <w:tblStyle w:val="5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494"/>
        <w:gridCol w:w="991"/>
        <w:gridCol w:w="854"/>
        <w:gridCol w:w="843"/>
        <w:gridCol w:w="566"/>
        <w:gridCol w:w="707"/>
        <w:gridCol w:w="566"/>
        <w:gridCol w:w="1555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649" w:type="dxa"/>
            <w:gridSpan w:val="6"/>
            <w:vAlign w:val="top"/>
          </w:tcPr>
          <w:p>
            <w:pPr>
              <w:pStyle w:val="6"/>
              <w:spacing w:before="79" w:line="218" w:lineRule="auto"/>
              <w:ind w:left="2002"/>
            </w:pPr>
            <w:r>
              <w:rPr>
                <w:spacing w:val="-2"/>
              </w:rPr>
              <w:t>评价指标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1"/>
            </w:pPr>
            <w:r>
              <w:rPr>
                <w:spacing w:val="-2"/>
              </w:rPr>
              <w:t>计算值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3"/>
            </w:pPr>
            <w:r>
              <w:rPr>
                <w:spacing w:val="-3"/>
              </w:rPr>
              <w:t>得分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59"/>
            </w:pPr>
            <w:r>
              <w:rPr>
                <w:spacing w:val="-2"/>
              </w:rPr>
              <w:t>指标说明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72"/>
            </w:pPr>
            <w:r>
              <w:rPr>
                <w:spacing w:val="-2"/>
              </w:rPr>
              <w:t>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95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375"/>
            </w:pPr>
            <w:r>
              <w:rPr>
                <w:spacing w:val="-2"/>
              </w:rPr>
              <w:t>一级指标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601"/>
            </w:pPr>
            <w:r>
              <w:rPr>
                <w:spacing w:val="-2"/>
              </w:rPr>
              <w:t>二级指标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380"/>
            </w:pPr>
            <w:r>
              <w:rPr>
                <w:spacing w:val="-2"/>
              </w:rPr>
              <w:t>三级指标</w:t>
            </w:r>
          </w:p>
        </w:tc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1" w:type="dxa"/>
            <w:vAlign w:val="top"/>
          </w:tcPr>
          <w:p>
            <w:pPr>
              <w:pStyle w:val="6"/>
              <w:spacing w:before="227" w:line="222" w:lineRule="auto"/>
              <w:ind w:left="289"/>
            </w:pPr>
            <w:r>
              <w:rPr>
                <w:spacing w:val="-4"/>
              </w:rPr>
              <w:t>名称</w:t>
            </w:r>
          </w:p>
        </w:tc>
        <w:tc>
          <w:tcPr>
            <w:tcW w:w="494" w:type="dxa"/>
            <w:textDirection w:val="tbRlV"/>
            <w:vAlign w:val="top"/>
          </w:tcPr>
          <w:p>
            <w:pPr>
              <w:pStyle w:val="6"/>
              <w:spacing w:before="164" w:line="210" w:lineRule="auto"/>
              <w:ind w:left="71"/>
            </w:pPr>
            <w:r>
              <w:t>权</w:t>
            </w:r>
            <w:r>
              <w:rPr>
                <w:spacing w:val="71"/>
                <w:w w:val="101"/>
              </w:rPr>
              <w:t xml:space="preserve"> </w:t>
            </w:r>
            <w:r>
              <w:t>重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27" w:line="222" w:lineRule="auto"/>
              <w:ind w:left="331"/>
            </w:pPr>
            <w:r>
              <w:rPr>
                <w:spacing w:val="-4"/>
              </w:rPr>
              <w:t>名称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227" w:line="220" w:lineRule="auto"/>
              <w:ind w:left="262"/>
            </w:pPr>
            <w:r>
              <w:rPr>
                <w:spacing w:val="-2"/>
              </w:rPr>
              <w:t>权重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227" w:line="222" w:lineRule="auto"/>
              <w:ind w:left="260"/>
            </w:pPr>
            <w:r>
              <w:rPr>
                <w:spacing w:val="-4"/>
              </w:rPr>
              <w:t>名称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227" w:line="220" w:lineRule="auto"/>
              <w:ind w:left="120"/>
            </w:pPr>
            <w:r>
              <w:rPr>
                <w:spacing w:val="-2"/>
              </w:rPr>
              <w:t>权重</w:t>
            </w: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6"/>
            </w:pPr>
            <w:r>
              <w:rPr>
                <w:spacing w:val="-2"/>
              </w:rPr>
              <w:t>预算编制</w:t>
            </w:r>
          </w:p>
          <w:p>
            <w:pPr>
              <w:pStyle w:val="6"/>
              <w:spacing w:before="121" w:line="220" w:lineRule="auto"/>
              <w:ind w:left="125"/>
            </w:pPr>
            <w:r>
              <w:rPr>
                <w:spacing w:val="-2"/>
              </w:rPr>
              <w:t>及执行情</w:t>
            </w:r>
          </w:p>
          <w:p>
            <w:pPr>
              <w:pStyle w:val="6"/>
              <w:spacing w:before="121" w:line="220" w:lineRule="auto"/>
              <w:ind w:left="368"/>
            </w:pPr>
            <w:r>
              <w:t>况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9"/>
            </w:pPr>
            <w:r>
              <w:rPr>
                <w:spacing w:val="-3"/>
              </w:rPr>
              <w:t>80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69"/>
            </w:pPr>
            <w:r>
              <w:rPr>
                <w:spacing w:val="-2"/>
              </w:rPr>
              <w:t>预算编制</w:t>
            </w:r>
          </w:p>
          <w:p>
            <w:pPr>
              <w:pStyle w:val="6"/>
              <w:spacing w:before="121" w:line="220" w:lineRule="auto"/>
              <w:ind w:left="182"/>
            </w:pPr>
            <w:r>
              <w:rPr>
                <w:spacing w:val="-5"/>
              </w:rPr>
              <w:t>的准确完</w:t>
            </w:r>
          </w:p>
          <w:p>
            <w:pPr>
              <w:pStyle w:val="6"/>
              <w:spacing w:before="121" w:line="221" w:lineRule="auto"/>
              <w:ind w:left="330"/>
            </w:pPr>
            <w:r>
              <w:rPr>
                <w:spacing w:val="-3"/>
              </w:rPr>
              <w:t>整性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43"/>
            </w:pPr>
            <w:r>
              <w:rPr>
                <w:spacing w:val="-4"/>
              </w:rPr>
              <w:t>25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229" w:line="353" w:lineRule="auto"/>
              <w:ind w:left="104" w:right="249"/>
              <w:jc w:val="both"/>
            </w:pPr>
            <w:r>
              <w:rPr>
                <w:spacing w:val="-3"/>
              </w:rPr>
              <w:t>财政拨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款收入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预决算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差异率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5</w:t>
            </w:r>
          </w:p>
        </w:tc>
        <w:tc>
          <w:tcPr>
            <w:tcW w:w="7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9" w:lineRule="auto"/>
              <w:ind w:left="117"/>
            </w:pPr>
            <w:r>
              <w:rPr>
                <w:spacing w:val="-1"/>
              </w:rPr>
              <w:t>-0.30%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2"/>
            </w:pPr>
            <w:r>
              <w:t>5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27" w:line="347" w:lineRule="auto"/>
              <w:ind w:left="108" w:right="93"/>
            </w:pPr>
            <w:r>
              <w:rPr>
                <w:spacing w:val="2"/>
              </w:rPr>
              <w:t>财政拨款收入</w:t>
            </w:r>
            <w:r>
              <w:rPr>
                <w:spacing w:val="-36"/>
                <w:w w:val="85"/>
              </w:rPr>
              <w:t>：（</w:t>
            </w:r>
            <w:r>
              <w:rPr>
                <w:spacing w:val="2"/>
              </w:rPr>
              <w:t xml:space="preserve">决 </w:t>
            </w:r>
            <w:r>
              <w:rPr>
                <w:spacing w:val="-1"/>
              </w:rPr>
              <w:t>算数－年初预算</w:t>
            </w:r>
          </w:p>
          <w:p>
            <w:pPr>
              <w:pStyle w:val="6"/>
              <w:spacing w:before="22" w:line="357" w:lineRule="auto"/>
              <w:ind w:left="107" w:right="235" w:firstLine="1"/>
            </w:pPr>
            <w:r>
              <w:rPr>
                <w:spacing w:val="-1"/>
              </w:rPr>
              <w:t>数）/年初预算数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3" w:line="341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6"/>
              <w:spacing w:before="78" w:line="340" w:lineRule="auto"/>
              <w:ind w:left="104" w:right="249" w:firstLine="2"/>
              <w:jc w:val="both"/>
            </w:pPr>
            <w:r>
              <w:rPr>
                <w:spacing w:val="-3"/>
              </w:rPr>
              <w:t>非财政</w:t>
            </w:r>
            <w:r>
              <w:t xml:space="preserve"> </w:t>
            </w:r>
            <w:r>
              <w:rPr>
                <w:spacing w:val="-3"/>
              </w:rPr>
              <w:t>拨款收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入预决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算差异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12"/>
            </w:pPr>
            <w:r>
              <w:rPr>
                <w:spacing w:val="-9"/>
              </w:rPr>
              <w:t>10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6"/>
              <w:spacing w:before="233" w:line="220" w:lineRule="auto"/>
              <w:ind w:left="111"/>
            </w:pPr>
            <w:r>
              <w:rPr>
                <w:spacing w:val="-1"/>
              </w:rPr>
              <w:t>非财政拨款收入：</w:t>
            </w:r>
          </w:p>
          <w:p>
            <w:pPr>
              <w:pStyle w:val="6"/>
              <w:spacing w:before="121" w:line="358" w:lineRule="auto"/>
              <w:ind w:left="107" w:right="93" w:firstLine="5"/>
            </w:pPr>
            <w:r>
              <w:rPr>
                <w:spacing w:val="-2"/>
              </w:rPr>
              <w:t>（决算数－年初预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算数）/年初预算数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8" w:line="340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5" w:lineRule="auto"/>
              <w:ind w:left="104" w:right="249"/>
              <w:jc w:val="both"/>
            </w:pPr>
            <w:r>
              <w:rPr>
                <w:spacing w:val="-3"/>
              </w:rPr>
              <w:t>年初结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转和结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余预决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算差异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5</w:t>
            </w:r>
          </w:p>
        </w:tc>
        <w:tc>
          <w:tcPr>
            <w:tcW w:w="70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9" w:lineRule="auto"/>
              <w:ind w:left="117"/>
            </w:pPr>
            <w:r>
              <w:rPr>
                <w:spacing w:val="-1"/>
              </w:rPr>
              <w:t>-0.30%</w:t>
            </w:r>
          </w:p>
        </w:tc>
        <w:tc>
          <w:tcPr>
            <w:tcW w:w="5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2"/>
            </w:pPr>
            <w:r>
              <w:t>5</w:t>
            </w:r>
          </w:p>
        </w:tc>
        <w:tc>
          <w:tcPr>
            <w:tcW w:w="155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09"/>
            </w:pPr>
            <w:r>
              <w:rPr>
                <w:spacing w:val="-1"/>
              </w:rPr>
              <w:t>年初结转和结余：</w:t>
            </w:r>
          </w:p>
          <w:p>
            <w:pPr>
              <w:pStyle w:val="6"/>
              <w:spacing w:before="121" w:line="358" w:lineRule="auto"/>
              <w:ind w:left="107" w:right="93" w:firstLine="5"/>
            </w:pPr>
            <w:r>
              <w:rPr>
                <w:spacing w:val="-2"/>
              </w:rPr>
              <w:t>（决算数－年初预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算数）/年初预算数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51" w:line="356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差异率（绝对值）≤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100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时，扣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分，差</w:t>
            </w:r>
            <w:r>
              <w:t xml:space="preserve">  </w:t>
            </w:r>
            <w:r>
              <w:rPr>
                <w:spacing w:val="-12"/>
              </w:rPr>
              <w:t>异率（绝对值</w:t>
            </w:r>
            <w:r>
              <w:rPr>
                <w:spacing w:val="-29"/>
              </w:rPr>
              <w:t>）﹥</w:t>
            </w:r>
            <w:r>
              <w:rPr>
                <w:spacing w:val="-12"/>
              </w:rPr>
              <w:t>100</w:t>
            </w:r>
            <w:r>
              <w:t xml:space="preserve">  </w:t>
            </w:r>
            <w:r>
              <w:rPr>
                <w:spacing w:val="-14"/>
              </w:rPr>
              <w:t>时，每增加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10%（含）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1906" w:h="16839"/>
          <w:pgMar w:top="400" w:right="1356" w:bottom="2108" w:left="1470" w:header="0" w:footer="1939" w:gutter="0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494"/>
        <w:gridCol w:w="991"/>
        <w:gridCol w:w="854"/>
        <w:gridCol w:w="843"/>
        <w:gridCol w:w="566"/>
        <w:gridCol w:w="707"/>
        <w:gridCol w:w="566"/>
        <w:gridCol w:w="1555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0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tcBorders>
              <w:top w:val="nil"/>
            </w:tcBorders>
            <w:vAlign w:val="top"/>
          </w:tcPr>
          <w:p>
            <w:pPr>
              <w:pStyle w:val="6"/>
              <w:spacing w:before="252" w:line="353" w:lineRule="auto"/>
              <w:ind w:left="104" w:right="249"/>
              <w:jc w:val="both"/>
            </w:pPr>
            <w:r>
              <w:rPr>
                <w:spacing w:val="-3"/>
              </w:rPr>
              <w:t>人员经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费预决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算差异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44"/>
            </w:pPr>
            <w:r>
              <w:t>3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9" w:lineRule="auto"/>
              <w:ind w:left="117"/>
            </w:pPr>
            <w:r>
              <w:rPr>
                <w:spacing w:val="-1"/>
              </w:rPr>
              <w:t>-4.70%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2"/>
            </w:pPr>
            <w:r>
              <w:t>3</w:t>
            </w:r>
          </w:p>
        </w:tc>
        <w:tc>
          <w:tcPr>
            <w:tcW w:w="1555" w:type="dxa"/>
            <w:tcBorders>
              <w:top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9" w:right="94"/>
              <w:jc w:val="both"/>
            </w:pPr>
            <w:r>
              <w:rPr>
                <w:spacing w:val="3"/>
              </w:rPr>
              <w:t>人员经费</w:t>
            </w:r>
            <w:r>
              <w:rPr>
                <w:spacing w:val="-13"/>
              </w:rPr>
              <w:t>：（</w:t>
            </w:r>
            <w:r>
              <w:rPr>
                <w:spacing w:val="3"/>
              </w:rPr>
              <w:t>决算</w:t>
            </w:r>
            <w:r>
              <w:t xml:space="preserve">  </w:t>
            </w:r>
            <w:r>
              <w:rPr>
                <w:spacing w:val="-3"/>
              </w:rPr>
              <w:t>数－年初预算数）/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年初预算数*100%</w:t>
            </w:r>
          </w:p>
        </w:tc>
        <w:tc>
          <w:tcPr>
            <w:tcW w:w="1587" w:type="dxa"/>
            <w:tcBorders>
              <w:top w:val="nil"/>
            </w:tcBorders>
            <w:vAlign w:val="top"/>
          </w:tcPr>
          <w:p>
            <w:pPr>
              <w:pStyle w:val="6"/>
              <w:spacing w:before="96" w:line="342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6"/>
              <w:spacing w:before="229" w:line="353" w:lineRule="auto"/>
              <w:ind w:left="104" w:right="249" w:firstLine="4"/>
              <w:jc w:val="both"/>
            </w:pPr>
            <w:r>
              <w:rPr>
                <w:spacing w:val="-4"/>
              </w:rPr>
              <w:t>公用经</w:t>
            </w:r>
            <w:r>
              <w:t xml:space="preserve"> </w:t>
            </w:r>
            <w:r>
              <w:rPr>
                <w:spacing w:val="-3"/>
              </w:rPr>
              <w:t>费预决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算差异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42"/>
            </w:pPr>
            <w:r>
              <w:t>2</w:t>
            </w:r>
          </w:p>
        </w:tc>
        <w:tc>
          <w:tcPr>
            <w:tcW w:w="7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514" w:right="97" w:hanging="397"/>
            </w:pPr>
            <w:r>
              <w:rPr>
                <w:spacing w:val="-1"/>
              </w:rPr>
              <w:t>-35.70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0</w:t>
            </w:r>
          </w:p>
        </w:tc>
        <w:tc>
          <w:tcPr>
            <w:tcW w:w="155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9" w:right="94" w:firstLine="4"/>
              <w:jc w:val="both"/>
            </w:pPr>
            <w:r>
              <w:rPr>
                <w:spacing w:val="2"/>
              </w:rPr>
              <w:t>公用经费</w:t>
            </w:r>
            <w:r>
              <w:rPr>
                <w:spacing w:val="-12"/>
              </w:rPr>
              <w:t>：（</w:t>
            </w:r>
            <w:r>
              <w:rPr>
                <w:spacing w:val="2"/>
              </w:rPr>
              <w:t>决算</w:t>
            </w:r>
            <w:r>
              <w:t xml:space="preserve">  </w:t>
            </w:r>
            <w:r>
              <w:rPr>
                <w:spacing w:val="-3"/>
              </w:rPr>
              <w:t>数－年初预算数）/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年初预算数*100%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1" w:line="342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2" w:right="172" w:hanging="13"/>
            </w:pPr>
            <w:r>
              <w:rPr>
                <w:spacing w:val="-2"/>
              </w:rPr>
              <w:t>预算执行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的有效性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41"/>
            </w:pPr>
            <w:r>
              <w:rPr>
                <w:spacing w:val="-2"/>
              </w:rPr>
              <w:t>45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230" w:line="353" w:lineRule="auto"/>
              <w:ind w:left="104" w:right="249"/>
              <w:jc w:val="both"/>
            </w:pPr>
            <w:r>
              <w:rPr>
                <w:spacing w:val="-3"/>
              </w:rPr>
              <w:t>人员经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费预算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执行差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异率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12"/>
            </w:pPr>
            <w:r>
              <w:rPr>
                <w:spacing w:val="-9"/>
              </w:rPr>
              <w:t>10</w:t>
            </w:r>
          </w:p>
        </w:tc>
        <w:tc>
          <w:tcPr>
            <w:tcW w:w="7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521"/>
            </w:pPr>
            <w:r>
              <w:t>0</w:t>
            </w:r>
          </w:p>
        </w:tc>
        <w:tc>
          <w:tcPr>
            <w:tcW w:w="5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09"/>
            </w:pPr>
            <w:r>
              <w:rPr>
                <w:spacing w:val="-9"/>
              </w:rPr>
              <w:t>10</w:t>
            </w:r>
          </w:p>
        </w:tc>
        <w:tc>
          <w:tcPr>
            <w:tcW w:w="155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9" w:right="94"/>
              <w:jc w:val="both"/>
            </w:pPr>
            <w:r>
              <w:rPr>
                <w:spacing w:val="3"/>
              </w:rPr>
              <w:t>人员经费</w:t>
            </w:r>
            <w:r>
              <w:rPr>
                <w:spacing w:val="-13"/>
              </w:rPr>
              <w:t>：（</w:t>
            </w:r>
            <w:r>
              <w:rPr>
                <w:spacing w:val="3"/>
              </w:rPr>
              <w:t>决算</w:t>
            </w:r>
            <w:r>
              <w:t xml:space="preserve">  </w:t>
            </w:r>
            <w:r>
              <w:rPr>
                <w:spacing w:val="-3"/>
              </w:rPr>
              <w:t>数－调整预算数）/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调整预算数*100%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0" w:line="342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6"/>
              <w:spacing w:before="233" w:line="353" w:lineRule="auto"/>
              <w:ind w:left="104" w:right="249" w:firstLine="4"/>
              <w:jc w:val="both"/>
            </w:pPr>
            <w:r>
              <w:rPr>
                <w:spacing w:val="-4"/>
              </w:rPr>
              <w:t>公用经</w:t>
            </w:r>
            <w:r>
              <w:t xml:space="preserve"> </w:t>
            </w:r>
            <w:r>
              <w:rPr>
                <w:spacing w:val="-3"/>
              </w:rPr>
              <w:t>费预算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执行差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异率</w:t>
            </w:r>
          </w:p>
        </w:tc>
        <w:tc>
          <w:tcPr>
            <w:tcW w:w="5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12"/>
            </w:pPr>
            <w:r>
              <w:rPr>
                <w:spacing w:val="-9"/>
              </w:rPr>
              <w:t>10</w:t>
            </w:r>
          </w:p>
        </w:tc>
        <w:tc>
          <w:tcPr>
            <w:tcW w:w="70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514" w:right="97" w:hanging="397"/>
            </w:pPr>
            <w:r>
              <w:rPr>
                <w:spacing w:val="-1"/>
              </w:rPr>
              <w:t>-39.40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6</w:t>
            </w:r>
          </w:p>
        </w:tc>
        <w:tc>
          <w:tcPr>
            <w:tcW w:w="155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9" w:right="94" w:firstLine="3"/>
              <w:jc w:val="both"/>
            </w:pPr>
            <w:r>
              <w:rPr>
                <w:spacing w:val="2"/>
              </w:rPr>
              <w:t>公用经费</w:t>
            </w:r>
            <w:r>
              <w:rPr>
                <w:spacing w:val="-12"/>
              </w:rPr>
              <w:t>：（</w:t>
            </w:r>
            <w:r>
              <w:rPr>
                <w:spacing w:val="2"/>
              </w:rPr>
              <w:t>决算</w:t>
            </w:r>
            <w:r>
              <w:t xml:space="preserve">  </w:t>
            </w:r>
            <w:r>
              <w:rPr>
                <w:spacing w:val="-3"/>
              </w:rPr>
              <w:t>数－调整预算数）/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调整预算数*100%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5" w:line="341" w:lineRule="auto"/>
              <w:ind w:left="112" w:right="33"/>
              <w:jc w:val="both"/>
            </w:pPr>
            <w:r>
              <w:rPr>
                <w:spacing w:val="-10"/>
              </w:rPr>
              <w:t>差异率＝0，得满分；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3" w:lineRule="auto"/>
              <w:ind w:left="104" w:right="249"/>
              <w:jc w:val="both"/>
            </w:pPr>
            <w:r>
              <w:rPr>
                <w:spacing w:val="-3"/>
              </w:rPr>
              <w:t>财政拨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款结转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和结余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12"/>
            </w:pPr>
            <w:r>
              <w:rPr>
                <w:spacing w:val="-9"/>
              </w:rPr>
              <w:t>10</w:t>
            </w:r>
          </w:p>
        </w:tc>
        <w:tc>
          <w:tcPr>
            <w:tcW w:w="70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9" w:lineRule="auto"/>
              <w:ind w:left="122"/>
            </w:pPr>
            <w:r>
              <w:rPr>
                <w:spacing w:val="-2"/>
              </w:rPr>
              <w:t>72.80%</w:t>
            </w:r>
          </w:p>
        </w:tc>
        <w:tc>
          <w:tcPr>
            <w:tcW w:w="5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1"/>
            </w:pPr>
            <w:r>
              <w:t>2</w:t>
            </w:r>
          </w:p>
        </w:tc>
        <w:tc>
          <w:tcPr>
            <w:tcW w:w="155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4" w:lineRule="auto"/>
              <w:ind w:left="108" w:right="94"/>
              <w:jc w:val="both"/>
            </w:pPr>
            <w:r>
              <w:rPr>
                <w:spacing w:val="-1"/>
              </w:rPr>
              <w:t>财政拨款结转和结</w:t>
            </w:r>
            <w:r>
              <w:t xml:space="preserve">  </w:t>
            </w:r>
            <w:r>
              <w:rPr>
                <w:spacing w:val="5"/>
              </w:rPr>
              <w:t>余</w:t>
            </w:r>
            <w:r>
              <w:rPr>
                <w:spacing w:val="-30"/>
              </w:rPr>
              <w:t>：（</w:t>
            </w:r>
            <w:r>
              <w:rPr>
                <w:spacing w:val="5"/>
              </w:rPr>
              <w:t>本年年末数/</w:t>
            </w:r>
            <w:r>
              <w:t xml:space="preserve"> </w:t>
            </w:r>
            <w:r>
              <w:rPr>
                <w:spacing w:val="-1"/>
              </w:rPr>
              <w:t>支出调整预算数总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计）*100%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76" w:line="344" w:lineRule="auto"/>
              <w:ind w:left="111" w:right="100" w:firstLine="4"/>
            </w:pPr>
            <w:r>
              <w:rPr>
                <w:spacing w:val="-9"/>
              </w:rPr>
              <w:t>结转和结余率=0，得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满分；结转和结余率</w:t>
            </w:r>
            <w:r>
              <w:t xml:space="preserve"> </w:t>
            </w:r>
            <w:r>
              <w:rPr>
                <w:spacing w:val="-9"/>
              </w:rPr>
              <w:t>（绝对值</w:t>
            </w:r>
            <w:r>
              <w:rPr>
                <w:spacing w:val="3"/>
              </w:rPr>
              <w:t>）﹥</w:t>
            </w:r>
            <w:r>
              <w:rPr>
                <w:spacing w:val="-9"/>
              </w:rPr>
              <w:t>0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时，</w:t>
            </w:r>
            <w:r>
              <w:t xml:space="preserve"> </w:t>
            </w:r>
            <w:r>
              <w:rPr>
                <w:spacing w:val="-2"/>
              </w:rPr>
              <w:t>每增加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5%（含）扣</w:t>
            </w:r>
            <w:r>
              <w:t xml:space="preserve"> </w:t>
            </w:r>
            <w:r>
              <w:rPr>
                <w:spacing w:val="-3"/>
              </w:rPr>
              <w:t>减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分，减至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0</w:t>
            </w:r>
            <w:r>
              <w:t xml:space="preserve">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6"/>
              <w:spacing w:before="79" w:line="340" w:lineRule="auto"/>
              <w:ind w:left="104" w:right="249"/>
              <w:jc w:val="both"/>
            </w:pPr>
            <w:r>
              <w:rPr>
                <w:spacing w:val="-3"/>
              </w:rPr>
              <w:t>财政拨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款结转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和结余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上下年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变动率</w:t>
            </w:r>
          </w:p>
        </w:tc>
        <w:tc>
          <w:tcPr>
            <w:tcW w:w="5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5</w:t>
            </w:r>
          </w:p>
        </w:tc>
        <w:tc>
          <w:tcPr>
            <w:tcW w:w="70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515" w:right="97" w:hanging="393"/>
            </w:pPr>
            <w:r>
              <w:rPr>
                <w:spacing w:val="-2"/>
              </w:rPr>
              <w:t>370.50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0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36" w:line="353" w:lineRule="auto"/>
              <w:ind w:left="109" w:right="93"/>
              <w:jc w:val="both"/>
            </w:pPr>
            <w:r>
              <w:rPr>
                <w:spacing w:val="-1"/>
              </w:rPr>
              <w:t>财政拨款结转和结</w:t>
            </w:r>
            <w:r>
              <w:t xml:space="preserve">  </w:t>
            </w:r>
            <w:r>
              <w:rPr>
                <w:spacing w:val="6"/>
              </w:rPr>
              <w:t>余</w:t>
            </w:r>
            <w:r>
              <w:rPr>
                <w:spacing w:val="-22"/>
              </w:rPr>
              <w:t>：（</w:t>
            </w:r>
            <w:r>
              <w:rPr>
                <w:spacing w:val="6"/>
              </w:rPr>
              <w:t>本年年末数</w:t>
            </w:r>
            <w:r>
              <w:t xml:space="preserve">  </w:t>
            </w:r>
            <w:r>
              <w:rPr>
                <w:spacing w:val="6"/>
              </w:rPr>
              <w:t>-上年年末数）/上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年年末数*100%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233" w:line="354" w:lineRule="auto"/>
              <w:ind w:left="111" w:right="47"/>
              <w:jc w:val="both"/>
            </w:pPr>
            <w:r>
              <w:rPr>
                <w:spacing w:val="-3"/>
              </w:rPr>
              <w:t>变动率&lt;0，得满分；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变动率≥0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时，每增</w:t>
            </w:r>
            <w:r>
              <w:t xml:space="preserve"> </w:t>
            </w:r>
            <w:r>
              <w:rPr>
                <w:spacing w:val="-9"/>
              </w:rPr>
              <w:t>加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5%（含）扣减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分，减至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6"/>
              <w:spacing w:before="82" w:line="348" w:lineRule="auto"/>
              <w:ind w:left="105" w:right="249"/>
              <w:jc w:val="both"/>
            </w:pPr>
            <w:r>
              <w:rPr>
                <w:spacing w:val="-3"/>
              </w:rPr>
              <w:t>财政收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回存量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资金占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上年财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政拨款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结转和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结余比</w:t>
            </w:r>
            <w:r>
              <w:rPr>
                <w:spacing w:val="1"/>
              </w:rPr>
              <w:t xml:space="preserve"> </w:t>
            </w:r>
            <w:r>
              <w:t>重</w:t>
            </w:r>
          </w:p>
        </w:tc>
        <w:tc>
          <w:tcPr>
            <w:tcW w:w="56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5</w:t>
            </w:r>
          </w:p>
        </w:tc>
        <w:tc>
          <w:tcPr>
            <w:tcW w:w="7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514" w:right="97" w:hanging="392"/>
            </w:pPr>
            <w:r>
              <w:rPr>
                <w:spacing w:val="-2"/>
              </w:rPr>
              <w:t>741.20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0</w:t>
            </w:r>
          </w:p>
        </w:tc>
        <w:tc>
          <w:tcPr>
            <w:tcW w:w="15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09"/>
            </w:pPr>
            <w:r>
              <w:rPr>
                <w:spacing w:val="-1"/>
              </w:rPr>
              <w:t>财政收回存量资</w:t>
            </w:r>
          </w:p>
          <w:p>
            <w:pPr>
              <w:pStyle w:val="6"/>
              <w:spacing w:before="122" w:line="353" w:lineRule="auto"/>
              <w:ind w:left="108" w:right="156" w:firstLine="1"/>
            </w:pPr>
            <w:r>
              <w:rPr>
                <w:spacing w:val="6"/>
              </w:rPr>
              <w:t>金</w:t>
            </w:r>
            <w:r>
              <w:rPr>
                <w:spacing w:val="-22"/>
              </w:rPr>
              <w:t>：（</w:t>
            </w:r>
            <w:r>
              <w:rPr>
                <w:spacing w:val="6"/>
              </w:rPr>
              <w:t>财政收回存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量资金数/上年财</w:t>
            </w:r>
            <w:r>
              <w:t xml:space="preserve">  </w:t>
            </w:r>
            <w:r>
              <w:rPr>
                <w:spacing w:val="-1"/>
              </w:rPr>
              <w:t>政拨款结转和结余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数）*100%</w:t>
            </w:r>
          </w:p>
        </w:tc>
        <w:tc>
          <w:tcPr>
            <w:tcW w:w="15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5" w:lineRule="auto"/>
              <w:ind w:left="112" w:right="33" w:firstLine="15"/>
            </w:pPr>
            <w:r>
              <w:rPr>
                <w:spacing w:val="-3"/>
              </w:rPr>
              <w:t>比重＝0，得满分；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比重（绝对值</w:t>
            </w:r>
            <w:r>
              <w:rPr>
                <w:spacing w:val="6"/>
              </w:rPr>
              <w:t>）﹥</w:t>
            </w:r>
            <w:r>
              <w:rPr>
                <w:spacing w:val="-3"/>
              </w:rPr>
              <w:t>0</w:t>
            </w:r>
            <w:r>
              <w:t xml:space="preserve">  </w:t>
            </w:r>
            <w:r>
              <w:rPr>
                <w:spacing w:val="-7"/>
              </w:rPr>
              <w:t>时，每增加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5%（含）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 </w:t>
            </w:r>
            <w:r>
              <w:rPr>
                <w:spacing w:val="-3"/>
              </w:rPr>
              <w:t>分为止。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1906" w:h="16839"/>
          <w:pgMar w:top="400" w:right="1356" w:bottom="2113" w:left="1470" w:header="0" w:footer="1939" w:gutter="0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494"/>
        <w:gridCol w:w="991"/>
        <w:gridCol w:w="854"/>
        <w:gridCol w:w="843"/>
        <w:gridCol w:w="566"/>
        <w:gridCol w:w="707"/>
        <w:gridCol w:w="566"/>
        <w:gridCol w:w="1555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0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tcBorders>
              <w:top w:val="nil"/>
            </w:tcBorders>
            <w:vAlign w:val="top"/>
          </w:tcPr>
          <w:p>
            <w:pPr>
              <w:pStyle w:val="6"/>
              <w:spacing w:before="95" w:line="347" w:lineRule="auto"/>
              <w:ind w:left="105" w:right="8" w:hanging="13"/>
            </w:pPr>
            <w:r>
              <w:rPr>
                <w:spacing w:val="21"/>
              </w:rPr>
              <w:t>“三公”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经费支</w:t>
            </w:r>
          </w:p>
          <w:p>
            <w:pPr>
              <w:pStyle w:val="6"/>
              <w:spacing w:before="22" w:line="330" w:lineRule="auto"/>
              <w:ind w:left="104" w:right="249" w:firstLine="13"/>
            </w:pPr>
            <w:r>
              <w:rPr>
                <w:spacing w:val="-7"/>
              </w:rPr>
              <w:t>出预决</w:t>
            </w:r>
            <w:r>
              <w:t xml:space="preserve"> </w:t>
            </w:r>
            <w:r>
              <w:rPr>
                <w:spacing w:val="-3"/>
              </w:rPr>
              <w:t>算差异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5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438" w:right="97" w:hanging="321"/>
            </w:pPr>
            <w:r>
              <w:rPr>
                <w:spacing w:val="-1"/>
              </w:rPr>
              <w:t>-146.6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0%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0</w:t>
            </w:r>
          </w:p>
        </w:tc>
        <w:tc>
          <w:tcPr>
            <w:tcW w:w="1555" w:type="dxa"/>
            <w:tcBorders>
              <w:top w:val="nil"/>
            </w:tcBorders>
            <w:vAlign w:val="top"/>
          </w:tcPr>
          <w:p>
            <w:pPr>
              <w:pStyle w:val="6"/>
              <w:spacing w:before="251" w:line="351" w:lineRule="auto"/>
              <w:ind w:left="107" w:right="93" w:hanging="11"/>
              <w:jc w:val="both"/>
            </w:pPr>
            <w:r>
              <w:rPr>
                <w:spacing w:val="-3"/>
              </w:rPr>
              <w:t>“三公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”经费</w:t>
            </w:r>
            <w:r>
              <w:rPr>
                <w:spacing w:val="-42"/>
                <w:w w:val="98"/>
              </w:rPr>
              <w:t>：（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"/>
              </w:rPr>
              <w:t>算数－年初预算数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/年初预算数）</w:t>
            </w:r>
          </w:p>
          <w:p>
            <w:pPr>
              <w:pStyle w:val="6"/>
              <w:spacing w:before="23"/>
              <w:ind w:left="107"/>
            </w:pP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tcBorders>
              <w:top w:val="nil"/>
            </w:tcBorders>
            <w:vAlign w:val="top"/>
          </w:tcPr>
          <w:p>
            <w:pPr>
              <w:pStyle w:val="6"/>
              <w:spacing w:before="96" w:line="342" w:lineRule="auto"/>
              <w:ind w:left="112" w:right="33"/>
            </w:pPr>
            <w:r>
              <w:rPr>
                <w:spacing w:val="-10"/>
              </w:rPr>
              <w:t>差异率≤0，得满分；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差异率（绝对值</w:t>
            </w:r>
            <w:r>
              <w:rPr>
                <w:spacing w:val="-18"/>
              </w:rPr>
              <w:t>）﹥</w:t>
            </w:r>
            <w:r>
              <w:t xml:space="preserve">  </w:t>
            </w:r>
            <w:r>
              <w:rPr>
                <w:spacing w:val="-19"/>
              </w:rPr>
              <w:t>0</w:t>
            </w:r>
            <w:r>
              <w:rPr>
                <w:spacing w:val="-16"/>
              </w:rPr>
              <w:t xml:space="preserve"> </w:t>
            </w:r>
            <w:r>
              <w:rPr>
                <w:spacing w:val="-19"/>
              </w:rPr>
              <w:t>时，每增加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5%（含）</w:t>
            </w:r>
            <w:r>
              <w:t xml:space="preserve"> </w:t>
            </w:r>
            <w:r>
              <w:rPr>
                <w:spacing w:val="-5"/>
              </w:rPr>
              <w:t>扣减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分，减至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0</w:t>
            </w:r>
            <w:r>
              <w:t xml:space="preserve">  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69"/>
            </w:pPr>
            <w:r>
              <w:rPr>
                <w:spacing w:val="-2"/>
              </w:rPr>
              <w:t>预算编制</w:t>
            </w:r>
          </w:p>
          <w:p>
            <w:pPr>
              <w:pStyle w:val="6"/>
              <w:spacing w:before="121" w:line="220" w:lineRule="auto"/>
              <w:ind w:left="168"/>
            </w:pPr>
            <w:r>
              <w:rPr>
                <w:spacing w:val="-2"/>
              </w:rPr>
              <w:t>及执行的</w:t>
            </w:r>
          </w:p>
          <w:p>
            <w:pPr>
              <w:pStyle w:val="6"/>
              <w:spacing w:before="121" w:line="221" w:lineRule="auto"/>
              <w:ind w:left="251"/>
            </w:pPr>
            <w:r>
              <w:rPr>
                <w:spacing w:val="-2"/>
              </w:rPr>
              <w:t>规范性</w:t>
            </w:r>
          </w:p>
        </w:tc>
        <w:tc>
          <w:tcPr>
            <w:tcW w:w="8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53"/>
            </w:pPr>
            <w:r>
              <w:rPr>
                <w:spacing w:val="-9"/>
              </w:rPr>
              <w:t>10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70" w:line="347" w:lineRule="auto"/>
              <w:ind w:left="105" w:right="249"/>
              <w:jc w:val="both"/>
            </w:pPr>
            <w:r>
              <w:rPr>
                <w:spacing w:val="-3"/>
              </w:rPr>
              <w:t>项目支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出中开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支在职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人员及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离退休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经费比</w:t>
            </w:r>
            <w:r>
              <w:rPr>
                <w:spacing w:val="1"/>
              </w:rPr>
              <w:t xml:space="preserve"> </w:t>
            </w:r>
            <w:r>
              <w:t>重</w:t>
            </w:r>
          </w:p>
        </w:tc>
        <w:tc>
          <w:tcPr>
            <w:tcW w:w="56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12"/>
            </w:pPr>
            <w:r>
              <w:rPr>
                <w:spacing w:val="-9"/>
              </w:rPr>
              <w:t>10</w:t>
            </w:r>
          </w:p>
        </w:tc>
        <w:tc>
          <w:tcPr>
            <w:tcW w:w="7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521"/>
            </w:pPr>
            <w:r>
              <w:t>0</w:t>
            </w:r>
          </w:p>
        </w:tc>
        <w:tc>
          <w:tcPr>
            <w:tcW w:w="56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09"/>
            </w:pPr>
            <w:r>
              <w:rPr>
                <w:spacing w:val="-9"/>
              </w:rPr>
              <w:t>10</w:t>
            </w:r>
          </w:p>
        </w:tc>
        <w:tc>
          <w:tcPr>
            <w:tcW w:w="155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09"/>
            </w:pPr>
            <w:r>
              <w:rPr>
                <w:spacing w:val="-1"/>
              </w:rPr>
              <w:t>财政拨款项目支</w:t>
            </w:r>
          </w:p>
          <w:p>
            <w:pPr>
              <w:pStyle w:val="6"/>
              <w:spacing w:before="120" w:line="347" w:lineRule="auto"/>
              <w:ind w:left="122" w:right="156"/>
            </w:pPr>
            <w:r>
              <w:rPr>
                <w:spacing w:val="4"/>
              </w:rPr>
              <w:t>出</w:t>
            </w:r>
            <w:r>
              <w:rPr>
                <w:spacing w:val="-22"/>
              </w:rPr>
              <w:t>：（</w:t>
            </w:r>
            <w:r>
              <w:rPr>
                <w:spacing w:val="4"/>
              </w:rPr>
              <w:t>工资福利支</w:t>
            </w:r>
            <w:r>
              <w:t xml:space="preserve"> </w:t>
            </w:r>
            <w:r>
              <w:rPr>
                <w:spacing w:val="-3"/>
              </w:rPr>
              <w:t>出+离休费+退休</w:t>
            </w:r>
          </w:p>
          <w:p>
            <w:pPr>
              <w:pStyle w:val="6"/>
              <w:spacing w:before="22" w:line="357" w:lineRule="auto"/>
              <w:ind w:left="107" w:right="96" w:firstLine="9"/>
            </w:pPr>
            <w:r>
              <w:rPr>
                <w:spacing w:val="-4"/>
              </w:rPr>
              <w:t>费）/项目支出合计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4" w:lineRule="auto"/>
              <w:ind w:left="112" w:right="47" w:firstLine="15"/>
            </w:pPr>
            <w:r>
              <w:rPr>
                <w:spacing w:val="-3"/>
              </w:rPr>
              <w:t>比重＝0，得满分；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比重﹥0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时，每增加</w:t>
            </w:r>
            <w:r>
              <w:t xml:space="preserve"> </w:t>
            </w:r>
            <w:r>
              <w:rPr>
                <w:spacing w:val="-2"/>
              </w:rPr>
              <w:t>1%（含）扣减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t xml:space="preserve">   </w:t>
            </w:r>
            <w:r>
              <w:rPr>
                <w:spacing w:val="-5"/>
              </w:rPr>
              <w:t>分，减至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7"/>
            </w:pPr>
            <w:r>
              <w:rPr>
                <w:spacing w:val="-2"/>
              </w:rPr>
              <w:t>财务状况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70"/>
            </w:pPr>
            <w:r>
              <w:rPr>
                <w:spacing w:val="-9"/>
              </w:rPr>
              <w:t>15</w:t>
            </w:r>
          </w:p>
        </w:tc>
        <w:tc>
          <w:tcPr>
            <w:tcW w:w="99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75"/>
            </w:pPr>
            <w:r>
              <w:rPr>
                <w:spacing w:val="-3"/>
              </w:rPr>
              <w:t>资产状况</w:t>
            </w:r>
          </w:p>
        </w:tc>
        <w:tc>
          <w:tcPr>
            <w:tcW w:w="85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6"/>
            </w:pPr>
            <w:r>
              <w:t>7</w:t>
            </w:r>
          </w:p>
        </w:tc>
        <w:tc>
          <w:tcPr>
            <w:tcW w:w="84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4" w:right="249" w:firstLine="6"/>
              <w:jc w:val="both"/>
            </w:pPr>
            <w:r>
              <w:rPr>
                <w:spacing w:val="-5"/>
              </w:rPr>
              <w:t>资产类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往来款</w:t>
            </w:r>
            <w:r>
              <w:t xml:space="preserve"> </w:t>
            </w:r>
            <w:r>
              <w:rPr>
                <w:spacing w:val="-2"/>
              </w:rPr>
              <w:t>变动率</w:t>
            </w:r>
          </w:p>
        </w:tc>
        <w:tc>
          <w:tcPr>
            <w:tcW w:w="5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44"/>
            </w:pPr>
            <w:r>
              <w:t>7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3"/>
            </w:pPr>
            <w:r>
              <w:t>7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73" w:line="347" w:lineRule="auto"/>
              <w:ind w:left="108" w:right="237"/>
            </w:pPr>
            <w:r>
              <w:rPr>
                <w:spacing w:val="-1"/>
              </w:rPr>
              <w:t>应收账款+预付账</w:t>
            </w:r>
            <w:r>
              <w:t xml:space="preserve"> </w:t>
            </w:r>
            <w:r>
              <w:rPr>
                <w:spacing w:val="-6"/>
              </w:rPr>
              <w:t>款+其他应收款：</w:t>
            </w:r>
          </w:p>
          <w:p>
            <w:pPr>
              <w:pStyle w:val="6"/>
              <w:spacing w:before="22" w:line="329" w:lineRule="auto"/>
              <w:ind w:left="108" w:right="96" w:firstLine="4"/>
            </w:pPr>
            <w:r>
              <w:rPr>
                <w:spacing w:val="-2"/>
              </w:rPr>
              <w:t>（本年年末数－上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年年末数）/上年年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末数*100%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228" w:line="354" w:lineRule="auto"/>
              <w:ind w:left="111" w:right="47"/>
              <w:jc w:val="both"/>
            </w:pPr>
            <w:r>
              <w:rPr>
                <w:spacing w:val="-11"/>
              </w:rPr>
              <w:t>变动率≤0，得满分；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变动率﹥0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时，每增</w:t>
            </w:r>
            <w:r>
              <w:t xml:space="preserve"> </w:t>
            </w:r>
            <w:r>
              <w:rPr>
                <w:spacing w:val="-9"/>
              </w:rPr>
              <w:t>加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5%（含）扣减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分，减至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75"/>
            </w:pPr>
            <w:r>
              <w:rPr>
                <w:spacing w:val="-3"/>
              </w:rPr>
              <w:t>负债状况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3"/>
            </w:pPr>
            <w:r>
              <w:t>8</w:t>
            </w:r>
          </w:p>
        </w:tc>
        <w:tc>
          <w:tcPr>
            <w:tcW w:w="8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4" w:right="249" w:firstLine="6"/>
              <w:jc w:val="both"/>
            </w:pPr>
            <w:r>
              <w:rPr>
                <w:spacing w:val="-5"/>
              </w:rPr>
              <w:t>负债类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往来款</w:t>
            </w:r>
            <w:r>
              <w:t xml:space="preserve"> </w:t>
            </w:r>
            <w:r>
              <w:rPr>
                <w:spacing w:val="-2"/>
              </w:rPr>
              <w:t>变动率</w:t>
            </w:r>
          </w:p>
        </w:tc>
        <w:tc>
          <w:tcPr>
            <w:tcW w:w="5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42"/>
            </w:pPr>
            <w:r>
              <w:t>6</w:t>
            </w:r>
          </w:p>
        </w:tc>
        <w:tc>
          <w:tcPr>
            <w:tcW w:w="7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92" w:lineRule="auto"/>
              <w:ind w:left="514" w:right="97" w:hanging="397"/>
            </w:pPr>
            <w:r>
              <w:rPr>
                <w:spacing w:val="-1"/>
              </w:rPr>
              <w:t>-51.50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5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0"/>
            </w:pPr>
            <w:r>
              <w:t>6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76" w:line="344" w:lineRule="auto"/>
              <w:ind w:left="107" w:right="155"/>
            </w:pPr>
            <w:r>
              <w:rPr>
                <w:spacing w:val="-1"/>
              </w:rPr>
              <w:t>应付账款+预收账</w:t>
            </w:r>
            <w:r>
              <w:t xml:space="preserve">  </w:t>
            </w:r>
            <w:r>
              <w:rPr>
                <w:spacing w:val="-1"/>
              </w:rPr>
              <w:t>款+其他应付款+长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期应付款</w:t>
            </w:r>
            <w:r>
              <w:rPr>
                <w:spacing w:val="-12"/>
              </w:rPr>
              <w:t>：（</w:t>
            </w:r>
            <w:r>
              <w:rPr>
                <w:spacing w:val="3"/>
              </w:rPr>
              <w:t>本年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年末数－上年年末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数）/上年年末数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3" w:lineRule="auto"/>
              <w:ind w:left="111" w:right="47"/>
              <w:jc w:val="both"/>
            </w:pPr>
            <w:r>
              <w:rPr>
                <w:spacing w:val="-11"/>
              </w:rPr>
              <w:t>变动率≤0，得满分；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变动率﹥0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时，每增</w:t>
            </w:r>
            <w:r>
              <w:t xml:space="preserve"> </w:t>
            </w:r>
            <w:r>
              <w:rPr>
                <w:spacing w:val="-9"/>
              </w:rPr>
              <w:t>加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5%（含）扣减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分，减至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1" w:lineRule="auto"/>
              <w:ind w:left="103" w:right="249" w:firstLine="2"/>
              <w:jc w:val="both"/>
            </w:pPr>
            <w:r>
              <w:rPr>
                <w:spacing w:val="-3"/>
              </w:rPr>
              <w:t>事业单</w:t>
            </w:r>
            <w:r>
              <w:t xml:space="preserve"> </w:t>
            </w:r>
            <w:r>
              <w:rPr>
                <w:spacing w:val="-2"/>
              </w:rPr>
              <w:t>位借款</w:t>
            </w:r>
            <w:r>
              <w:t xml:space="preserve"> </w:t>
            </w:r>
            <w:r>
              <w:rPr>
                <w:spacing w:val="-2"/>
              </w:rPr>
              <w:t>变动率</w:t>
            </w:r>
          </w:p>
        </w:tc>
        <w:tc>
          <w:tcPr>
            <w:tcW w:w="5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42"/>
            </w:pPr>
            <w:r>
              <w:t>2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1"/>
            </w:pPr>
            <w:r>
              <w:t>2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97" w:line="353" w:lineRule="auto"/>
              <w:ind w:left="108" w:right="93" w:firstLine="1"/>
            </w:pPr>
            <w:r>
              <w:rPr>
                <w:spacing w:val="-2"/>
              </w:rPr>
              <w:t>短期借款+长期借</w:t>
            </w:r>
            <w:r>
              <w:rPr>
                <w:spacing w:val="2"/>
              </w:rPr>
              <w:t xml:space="preserve">   </w:t>
            </w:r>
            <w:r>
              <w:rPr>
                <w:spacing w:val="6"/>
              </w:rPr>
              <w:t>款</w:t>
            </w:r>
            <w:r>
              <w:rPr>
                <w:spacing w:val="-21"/>
              </w:rPr>
              <w:t>：（</w:t>
            </w:r>
            <w:r>
              <w:rPr>
                <w:spacing w:val="6"/>
              </w:rPr>
              <w:t>本年年末数</w:t>
            </w:r>
            <w:r>
              <w:t xml:space="preserve">  </w:t>
            </w:r>
            <w:r>
              <w:rPr>
                <w:spacing w:val="6"/>
              </w:rPr>
              <w:t>-上年年末数）/上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年年末数*100%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94" w:line="354" w:lineRule="auto"/>
              <w:ind w:left="111" w:right="47"/>
              <w:jc w:val="both"/>
            </w:pPr>
            <w:r>
              <w:rPr>
                <w:spacing w:val="-11"/>
              </w:rPr>
              <w:t>变动率≤0，得满分；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变动率﹥0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时，每增</w:t>
            </w:r>
            <w:r>
              <w:t xml:space="preserve"> </w:t>
            </w:r>
            <w:r>
              <w:rPr>
                <w:spacing w:val="-9"/>
              </w:rPr>
              <w:t>加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5%（含）扣减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分，减至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7"/>
            </w:pPr>
            <w:r>
              <w:rPr>
                <w:spacing w:val="-2"/>
              </w:rPr>
              <w:t>人员情况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203"/>
            </w:pPr>
            <w:r>
              <w:t>5</w:t>
            </w:r>
          </w:p>
        </w:tc>
        <w:tc>
          <w:tcPr>
            <w:tcW w:w="99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329" w:right="172" w:hanging="160"/>
            </w:pPr>
            <w:r>
              <w:rPr>
                <w:spacing w:val="-2"/>
              </w:rPr>
              <w:t>在职人员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控制</w:t>
            </w:r>
          </w:p>
        </w:tc>
        <w:tc>
          <w:tcPr>
            <w:tcW w:w="8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6"/>
            </w:pPr>
            <w:r>
              <w:t>3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251" w:line="351" w:lineRule="auto"/>
              <w:ind w:left="105" w:right="249" w:hanging="1"/>
              <w:jc w:val="both"/>
            </w:pPr>
            <w:r>
              <w:rPr>
                <w:spacing w:val="-3"/>
              </w:rPr>
              <w:t>在职人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员控制</w:t>
            </w:r>
            <w:r>
              <w:t xml:space="preserve"> 率</w:t>
            </w:r>
          </w:p>
        </w:tc>
        <w:tc>
          <w:tcPr>
            <w:tcW w:w="5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44"/>
            </w:pPr>
            <w:r>
              <w:t>3</w:t>
            </w:r>
          </w:p>
        </w:tc>
        <w:tc>
          <w:tcPr>
            <w:tcW w:w="7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9" w:lineRule="auto"/>
              <w:ind w:left="119"/>
            </w:pPr>
            <w:r>
              <w:rPr>
                <w:spacing w:val="-1"/>
              </w:rPr>
              <w:t>85.70%</w:t>
            </w:r>
          </w:p>
        </w:tc>
        <w:tc>
          <w:tcPr>
            <w:tcW w:w="5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2"/>
            </w:pPr>
            <w:r>
              <w:t>3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50" w:line="358" w:lineRule="auto"/>
              <w:ind w:left="107" w:right="87" w:firstLine="1"/>
              <w:jc w:val="both"/>
            </w:pPr>
            <w:r>
              <w:rPr>
                <w:spacing w:val="3"/>
              </w:rPr>
              <w:t>在职人员数</w:t>
            </w:r>
            <w:r>
              <w:rPr>
                <w:spacing w:val="-12"/>
              </w:rPr>
              <w:t>：（</w:t>
            </w:r>
            <w:r>
              <w:rPr>
                <w:spacing w:val="3"/>
              </w:rPr>
              <w:t>在</w:t>
            </w:r>
            <w:r>
              <w:t xml:space="preserve">  </w:t>
            </w:r>
            <w:r>
              <w:rPr>
                <w:spacing w:val="-2"/>
              </w:rPr>
              <w:t>职人员数/编制数）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96" w:line="338" w:lineRule="auto"/>
              <w:ind w:left="112" w:right="102" w:hanging="2"/>
              <w:jc w:val="both"/>
            </w:pPr>
            <w:r>
              <w:rPr>
                <w:spacing w:val="-1"/>
              </w:rPr>
              <w:t>控制率≤100，得满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分；控制率每超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1%</w:t>
            </w:r>
            <w:r>
              <w:t xml:space="preserve"> </w:t>
            </w:r>
            <w:r>
              <w:rPr>
                <w:spacing w:val="-7"/>
              </w:rPr>
              <w:t>扣减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0</w:t>
            </w:r>
            <w:r>
              <w:t xml:space="preserve"> </w:t>
            </w:r>
            <w:r>
              <w:rPr>
                <w:spacing w:val="-3"/>
              </w:rPr>
              <w:t>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69"/>
            </w:pPr>
            <w:r>
              <w:rPr>
                <w:spacing w:val="-2"/>
              </w:rPr>
              <w:t>财政拨款</w:t>
            </w:r>
          </w:p>
          <w:p>
            <w:pPr>
              <w:pStyle w:val="6"/>
              <w:spacing w:before="121" w:line="220" w:lineRule="auto"/>
              <w:ind w:left="106"/>
            </w:pPr>
            <w:r>
              <w:rPr>
                <w:spacing w:val="-6"/>
              </w:rPr>
              <w:t>（补助）人</w:t>
            </w:r>
          </w:p>
          <w:p>
            <w:pPr>
              <w:pStyle w:val="6"/>
              <w:spacing w:before="121" w:line="220" w:lineRule="auto"/>
              <w:ind w:left="256"/>
            </w:pPr>
            <w:r>
              <w:rPr>
                <w:spacing w:val="-4"/>
              </w:rPr>
              <w:t>员控制</w:t>
            </w:r>
          </w:p>
        </w:tc>
        <w:tc>
          <w:tcPr>
            <w:tcW w:w="8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94"/>
            </w:pPr>
            <w:r>
              <w:t>1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83" w:line="221" w:lineRule="auto"/>
              <w:ind w:left="106"/>
            </w:pPr>
            <w:r>
              <w:rPr>
                <w:spacing w:val="-3"/>
              </w:rPr>
              <w:t>一般公</w:t>
            </w:r>
          </w:p>
          <w:p>
            <w:pPr>
              <w:pStyle w:val="6"/>
              <w:spacing w:before="120" w:line="220" w:lineRule="auto"/>
              <w:ind w:left="104"/>
            </w:pPr>
            <w:r>
              <w:rPr>
                <w:spacing w:val="-2"/>
              </w:rPr>
              <w:t>共预算</w:t>
            </w:r>
          </w:p>
          <w:p>
            <w:pPr>
              <w:pStyle w:val="6"/>
              <w:spacing w:before="121" w:line="220" w:lineRule="auto"/>
              <w:ind w:left="105"/>
            </w:pPr>
            <w:r>
              <w:rPr>
                <w:spacing w:val="-2"/>
              </w:rPr>
              <w:t>财政拨</w:t>
            </w:r>
          </w:p>
          <w:p>
            <w:pPr>
              <w:pStyle w:val="6"/>
              <w:spacing w:before="121" w:line="220" w:lineRule="auto"/>
              <w:ind w:left="104"/>
            </w:pPr>
            <w:r>
              <w:rPr>
                <w:spacing w:val="-3"/>
              </w:rPr>
              <w:t>款（补</w:t>
            </w:r>
          </w:p>
          <w:p>
            <w:pPr>
              <w:pStyle w:val="6"/>
              <w:spacing w:before="120" w:line="312" w:lineRule="auto"/>
              <w:ind w:left="104" w:right="100"/>
            </w:pPr>
            <w:r>
              <w:rPr>
                <w:spacing w:val="-5"/>
              </w:rPr>
              <w:t>助）人员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增减率</w:t>
            </w:r>
          </w:p>
        </w:tc>
        <w:tc>
          <w:tcPr>
            <w:tcW w:w="56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52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/>
              <w:ind w:left="278"/>
            </w:pPr>
            <w:r>
              <w:rPr>
                <w:spacing w:val="-1"/>
              </w:rPr>
              <w:t>-25%</w:t>
            </w:r>
          </w:p>
        </w:tc>
        <w:tc>
          <w:tcPr>
            <w:tcW w:w="56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91"/>
            </w:pPr>
            <w:r>
              <w:t>1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38" w:line="359" w:lineRule="auto"/>
              <w:ind w:left="107" w:right="96" w:firstLine="2"/>
              <w:jc w:val="both"/>
            </w:pPr>
            <w:r>
              <w:rPr>
                <w:spacing w:val="-1"/>
              </w:rPr>
              <w:t>一般公共预算拨款</w:t>
            </w:r>
            <w:r>
              <w:t xml:space="preserve">  </w:t>
            </w:r>
            <w:r>
              <w:rPr>
                <w:spacing w:val="-1"/>
              </w:rPr>
              <w:t>（补助）开支在职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人员数</w:t>
            </w:r>
            <w:r>
              <w:rPr>
                <w:spacing w:val="-9"/>
              </w:rPr>
              <w:t>：（</w:t>
            </w:r>
            <w:r>
              <w:rPr>
                <w:spacing w:val="2"/>
              </w:rPr>
              <w:t>本年数</w:t>
            </w:r>
            <w:r>
              <w:t xml:space="preserve">  </w:t>
            </w:r>
            <w:r>
              <w:rPr>
                <w:spacing w:val="6"/>
              </w:rPr>
              <w:t>-上年数）/上年数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158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4" w:lineRule="auto"/>
              <w:ind w:left="111" w:right="59"/>
            </w:pPr>
            <w:r>
              <w:rPr>
                <w:spacing w:val="-12"/>
              </w:rPr>
              <w:t>增减率≤0，得满分；</w:t>
            </w:r>
            <w:r>
              <w:t xml:space="preserve"> </w:t>
            </w:r>
            <w:r>
              <w:rPr>
                <w:spacing w:val="-1"/>
              </w:rPr>
              <w:t>在职人员控制率﹥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100%时，增减率﹥0,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扣减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906" w:h="16839"/>
          <w:pgMar w:top="400" w:right="1356" w:bottom="2108" w:left="1470" w:header="0" w:footer="1939" w:gutter="0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494"/>
        <w:gridCol w:w="991"/>
        <w:gridCol w:w="854"/>
        <w:gridCol w:w="843"/>
        <w:gridCol w:w="566"/>
        <w:gridCol w:w="707"/>
        <w:gridCol w:w="566"/>
        <w:gridCol w:w="1555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0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nil"/>
            </w:tcBorders>
            <w:vAlign w:val="top"/>
          </w:tcPr>
          <w:p>
            <w:pPr>
              <w:pStyle w:val="6"/>
              <w:spacing w:before="251" w:line="347" w:lineRule="auto"/>
              <w:ind w:left="328" w:right="172" w:hanging="160"/>
            </w:pPr>
            <w:r>
              <w:rPr>
                <w:spacing w:val="-2"/>
              </w:rPr>
              <w:t>其他人员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控制</w:t>
            </w: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94"/>
            </w:pPr>
            <w:r>
              <w:t>1</w:t>
            </w:r>
          </w:p>
        </w:tc>
        <w:tc>
          <w:tcPr>
            <w:tcW w:w="843" w:type="dxa"/>
            <w:tcBorders>
              <w:top w:val="nil"/>
            </w:tcBorders>
            <w:vAlign w:val="top"/>
          </w:tcPr>
          <w:p>
            <w:pPr>
              <w:pStyle w:val="6"/>
              <w:spacing w:before="96" w:line="326" w:lineRule="auto"/>
              <w:ind w:left="105" w:right="249" w:hanging="1"/>
              <w:jc w:val="both"/>
            </w:pPr>
            <w:r>
              <w:rPr>
                <w:spacing w:val="-2"/>
              </w:rPr>
              <w:t>其他人</w:t>
            </w:r>
            <w:r>
              <w:t xml:space="preserve"> </w:t>
            </w:r>
            <w:r>
              <w:rPr>
                <w:spacing w:val="-3"/>
              </w:rPr>
              <w:t>员增减</w:t>
            </w:r>
            <w:r>
              <w:t xml:space="preserve"> 率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52"/>
            </w:pPr>
            <w:r>
              <w:t>1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91"/>
            </w:pPr>
            <w:r>
              <w:t>1</w:t>
            </w:r>
          </w:p>
        </w:tc>
        <w:tc>
          <w:tcPr>
            <w:tcW w:w="1555" w:type="dxa"/>
            <w:tcBorders>
              <w:top w:val="nil"/>
            </w:tcBorders>
            <w:vAlign w:val="top"/>
          </w:tcPr>
          <w:p>
            <w:pPr>
              <w:pStyle w:val="6"/>
              <w:spacing w:before="96" w:line="326" w:lineRule="auto"/>
              <w:ind w:left="108" w:right="93" w:hanging="1"/>
              <w:jc w:val="both"/>
            </w:pPr>
            <w:r>
              <w:rPr>
                <w:spacing w:val="3"/>
              </w:rPr>
              <w:t>其他人员数</w:t>
            </w:r>
            <w:r>
              <w:rPr>
                <w:spacing w:val="-12"/>
              </w:rPr>
              <w:t>：（</w:t>
            </w:r>
            <w:r>
              <w:rPr>
                <w:spacing w:val="3"/>
              </w:rPr>
              <w:t>本</w:t>
            </w:r>
            <w:r>
              <w:t xml:space="preserve">  </w:t>
            </w:r>
            <w:r>
              <w:rPr>
                <w:spacing w:val="-3"/>
              </w:rPr>
              <w:t>年数－上年数）/上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年数*100%</w:t>
            </w:r>
          </w:p>
        </w:tc>
        <w:tc>
          <w:tcPr>
            <w:tcW w:w="1587" w:type="dxa"/>
            <w:tcBorders>
              <w:top w:val="nil"/>
            </w:tcBorders>
            <w:vAlign w:val="top"/>
          </w:tcPr>
          <w:p>
            <w:pPr>
              <w:pStyle w:val="6"/>
              <w:spacing w:before="96" w:line="326" w:lineRule="auto"/>
              <w:ind w:left="111" w:right="59"/>
            </w:pPr>
            <w:r>
              <w:rPr>
                <w:spacing w:val="-12"/>
              </w:rPr>
              <w:t>增减率≤0，得满分；</w:t>
            </w:r>
            <w:r>
              <w:t xml:space="preserve"> </w:t>
            </w:r>
            <w:r>
              <w:rPr>
                <w:spacing w:val="-3"/>
              </w:rPr>
              <w:t>增减率﹥0,扣减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</w:t>
            </w:r>
            <w:r>
              <w:t xml:space="preserve">  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01" w:type="dxa"/>
            <w:vAlign w:val="top"/>
          </w:tcPr>
          <w:p>
            <w:pPr>
              <w:pStyle w:val="6"/>
              <w:spacing w:before="82" w:line="221" w:lineRule="auto"/>
              <w:ind w:left="287"/>
            </w:pPr>
            <w:r>
              <w:rPr>
                <w:spacing w:val="-3"/>
              </w:rPr>
              <w:t>合计</w:t>
            </w:r>
          </w:p>
        </w:tc>
        <w:tc>
          <w:tcPr>
            <w:tcW w:w="494" w:type="dxa"/>
            <w:vAlign w:val="top"/>
          </w:tcPr>
          <w:p>
            <w:pPr>
              <w:pStyle w:val="6"/>
              <w:spacing w:before="105" w:line="185" w:lineRule="auto"/>
              <w:ind w:left="132"/>
            </w:pPr>
            <w:r>
              <w:rPr>
                <w:spacing w:val="-6"/>
              </w:rPr>
              <w:t>100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57" w:line="109" w:lineRule="exact"/>
              <w:ind w:left="402"/>
            </w:pPr>
            <w:r>
              <w:rPr>
                <w:spacing w:val="1"/>
                <w:position w:val="-3"/>
              </w:rPr>
              <w:t>—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05" w:line="185" w:lineRule="auto"/>
              <w:ind w:left="315"/>
            </w:pPr>
            <w:r>
              <w:rPr>
                <w:spacing w:val="-6"/>
              </w:rPr>
              <w:t>100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157" w:line="109" w:lineRule="exact"/>
              <w:ind w:left="331"/>
            </w:pPr>
            <w:r>
              <w:rPr>
                <w:position w:val="-3"/>
              </w:rPr>
              <w:t>—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05" w:line="185" w:lineRule="auto"/>
              <w:ind w:left="173"/>
            </w:pPr>
            <w:r>
              <w:rPr>
                <w:spacing w:val="-6"/>
              </w:rPr>
              <w:t>100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57" w:line="109" w:lineRule="exact"/>
              <w:ind w:left="266"/>
            </w:pPr>
            <w:r>
              <w:rPr>
                <w:position w:val="-3"/>
              </w:rPr>
              <w:t>—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05" w:line="185" w:lineRule="auto"/>
              <w:ind w:left="298"/>
            </w:pPr>
            <w:r>
              <w:rPr>
                <w:spacing w:val="-3"/>
              </w:rPr>
              <w:t>61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157" w:line="109" w:lineRule="exact"/>
              <w:ind w:left="692"/>
            </w:pPr>
            <w:r>
              <w:rPr>
                <w:position w:val="-3"/>
              </w:rPr>
              <w:t>—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57" w:line="109" w:lineRule="exact"/>
              <w:ind w:left="707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74" w:line="220" w:lineRule="auto"/>
        <w:ind w:left="12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注：1.财务状况不含企业化管理事业单位和民间非</w:t>
      </w:r>
      <w:r>
        <w:rPr>
          <w:rFonts w:ascii="宋体" w:hAnsi="宋体" w:eastAsia="宋体" w:cs="宋体"/>
          <w:spacing w:val="-1"/>
          <w:sz w:val="16"/>
          <w:szCs w:val="16"/>
        </w:rPr>
        <w:t>营利组织。</w:t>
      </w:r>
    </w:p>
    <w:p>
      <w:pPr>
        <w:spacing w:before="120" w:line="347" w:lineRule="auto"/>
        <w:ind w:left="126" w:right="160" w:firstLine="3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2.财政拨款结转和结余率、财政拨款结转和结余上下年变动率评价指标中，中央部门上年、本年年末结</w:t>
      </w:r>
      <w:r>
        <w:rPr>
          <w:rFonts w:ascii="宋体" w:hAnsi="宋体" w:eastAsia="宋体" w:cs="宋体"/>
          <w:spacing w:val="-1"/>
          <w:sz w:val="16"/>
          <w:szCs w:val="16"/>
        </w:rPr>
        <w:t>转和结余数均不含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sz w:val="16"/>
          <w:szCs w:val="16"/>
        </w:rPr>
        <w:t>暂付款。</w:t>
      </w:r>
    </w:p>
    <w:p>
      <w:pPr>
        <w:spacing w:before="23" w:line="220" w:lineRule="auto"/>
        <w:ind w:left="44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3.各项评分标准中，对于分子不为0</w:t>
      </w:r>
      <w:r>
        <w:rPr>
          <w:rFonts w:ascii="宋体" w:hAnsi="宋体" w:eastAsia="宋体" w:cs="宋体"/>
          <w:spacing w:val="-2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且分母为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0</w:t>
      </w:r>
      <w:r>
        <w:rPr>
          <w:rFonts w:ascii="宋体" w:hAnsi="宋体" w:eastAsia="宋体" w:cs="宋体"/>
          <w:spacing w:val="-2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的情况，按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0</w:t>
      </w:r>
      <w:r>
        <w:rPr>
          <w:rFonts w:ascii="宋体" w:hAnsi="宋体" w:eastAsia="宋体" w:cs="宋体"/>
          <w:spacing w:val="-3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分计算；分子、分母同为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0</w:t>
      </w:r>
      <w:r>
        <w:rPr>
          <w:rFonts w:ascii="宋体" w:hAnsi="宋体" w:eastAsia="宋体" w:cs="宋体"/>
          <w:spacing w:val="-2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的情况，按满分计算。</w:t>
      </w:r>
    </w:p>
    <w:p>
      <w:pPr>
        <w:spacing w:before="239" w:line="222" w:lineRule="auto"/>
        <w:ind w:left="77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七、其他重要事项的说明</w:t>
      </w:r>
    </w:p>
    <w:p>
      <w:pPr>
        <w:spacing w:before="205" w:line="231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（一）机关运行经费情况</w:t>
      </w:r>
    </w:p>
    <w:p>
      <w:pPr>
        <w:spacing w:before="195" w:line="221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本部门为事业单位，无机关运行经费支出。</w:t>
      </w:r>
    </w:p>
    <w:p>
      <w:pPr>
        <w:spacing w:before="206" w:line="232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（二）政府采购情况</w:t>
      </w:r>
    </w:p>
    <w:p>
      <w:pPr>
        <w:spacing w:before="194" w:line="339" w:lineRule="auto"/>
        <w:ind w:left="139" w:right="11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万元, 从采购类型来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看，政府采购货物支出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万元，政府采购工程支</w:t>
      </w:r>
      <w:r>
        <w:rPr>
          <w:rFonts w:ascii="仿宋" w:hAnsi="仿宋" w:eastAsia="仿宋" w:cs="仿宋"/>
          <w:spacing w:val="1"/>
          <w:sz w:val="31"/>
          <w:szCs w:val="31"/>
        </w:rPr>
        <w:t>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采购服务支出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万元。授予中小企业合同金额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万元，占政</w:t>
      </w:r>
      <w:r>
        <w:rPr>
          <w:rFonts w:ascii="仿宋" w:hAnsi="仿宋" w:eastAsia="仿宋" w:cs="仿宋"/>
          <w:spacing w:val="1"/>
          <w:sz w:val="31"/>
          <w:szCs w:val="31"/>
        </w:rPr>
        <w:t>府采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购支出总额的0%，其中授予小微企业合同金额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占政府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采购支出总额的0%。</w:t>
      </w:r>
    </w:p>
    <w:p>
      <w:pPr>
        <w:spacing w:before="50" w:line="229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（三）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国有资产占用情况</w:t>
      </w:r>
    </w:p>
    <w:p>
      <w:pPr>
        <w:spacing w:before="199" w:line="340" w:lineRule="auto"/>
        <w:ind w:left="135" w:right="35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辆，与上年持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平。其中，副部（省）级及以上领导用车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辆，主要领导干部用</w:t>
      </w:r>
      <w:r>
        <w:rPr>
          <w:rFonts w:ascii="仿宋" w:hAnsi="仿宋" w:eastAsia="仿宋" w:cs="仿宋"/>
          <w:sz w:val="31"/>
          <w:szCs w:val="31"/>
        </w:rPr>
        <w:t xml:space="preserve"> 车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辆，机要通信用车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辆，应急保障用车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辆，执法执勤用车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辆，特种专业技术用车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辆，离退休干部用车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辆，其他用车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辆；单位价值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万元以上通用设备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 台（套</w:t>
      </w:r>
      <w:r>
        <w:rPr>
          <w:rFonts w:ascii="仿宋" w:hAnsi="仿宋" w:eastAsia="仿宋" w:cs="仿宋"/>
          <w:spacing w:val="18"/>
          <w:sz w:val="31"/>
          <w:szCs w:val="31"/>
        </w:rPr>
        <w:t>），</w:t>
      </w:r>
      <w:r>
        <w:rPr>
          <w:rFonts w:ascii="仿宋" w:hAnsi="仿宋" w:eastAsia="仿宋" w:cs="仿宋"/>
          <w:spacing w:val="-3"/>
          <w:sz w:val="31"/>
          <w:szCs w:val="31"/>
        </w:rPr>
        <w:t>与上年持平，</w:t>
      </w:r>
      <w:r>
        <w:rPr>
          <w:rFonts w:ascii="仿宋" w:hAnsi="仿宋" w:eastAsia="仿宋" w:cs="仿宋"/>
          <w:sz w:val="31"/>
          <w:szCs w:val="31"/>
        </w:rPr>
        <w:t xml:space="preserve"> 单位价值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 台（套</w:t>
      </w:r>
      <w:r>
        <w:rPr>
          <w:rFonts w:ascii="仿宋" w:hAnsi="仿宋" w:eastAsia="仿宋" w:cs="仿宋"/>
          <w:spacing w:val="25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>与</w:t>
      </w:r>
      <w:r>
        <w:rPr>
          <w:rFonts w:ascii="仿宋" w:hAnsi="仿宋" w:eastAsia="仿宋" w:cs="仿宋"/>
          <w:spacing w:val="-1"/>
          <w:sz w:val="31"/>
          <w:szCs w:val="31"/>
        </w:rPr>
        <w:t>上年持平。</w:t>
      </w:r>
    </w:p>
    <w:p>
      <w:pPr>
        <w:spacing w:before="52" w:line="23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（四）国有资本经营情况说明：</w:t>
      </w:r>
      <w:r>
        <w:rPr>
          <w:rFonts w:ascii="仿宋" w:hAnsi="仿宋" w:eastAsia="仿宋" w:cs="仿宋"/>
          <w:spacing w:val="4"/>
          <w:sz w:val="31"/>
          <w:szCs w:val="31"/>
        </w:rPr>
        <w:t>2018年我单位无国有资本经</w:t>
      </w:r>
    </w:p>
    <w:p>
      <w:pPr>
        <w:spacing w:line="230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400" w:right="1356" w:bottom="2108" w:left="1470" w:header="0" w:footer="1939" w:gutter="0"/>
        </w:sectPr>
      </w:pPr>
    </w:p>
    <w:p>
      <w:pPr>
        <w:spacing w:before="185" w:line="899" w:lineRule="exact"/>
      </w:pPr>
      <w:r>
        <w:rPr>
          <w:position w:val="-17"/>
        </w:rPr>
        <w:pict>
          <v:group id="_x0000_s1049" o:spid="_x0000_s1049" o:spt="203" style="height:45pt;width:301.35pt;" coordsize="6027,900">
            <o:lock v:ext="edit"/>
            <v:rect id="_x0000_s1050" o:spid="_x0000_s1050" o:spt="1" style="position:absolute;left:0;top:0;height:740;width:6027;" fillcolor="#D8D8D8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1" o:spid="_x0000_s1051" o:spt="75" type="#_x0000_t75" style="position:absolute;left:0;top:153;height:745;width:5907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52" o:spid="_x0000_s1052" o:spt="202" type="#_x0000_t202" style="position:absolute;left:160;top:396;height:374;width:55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1" w:lineRule="auto"/>
                      <w:ind w:left="20"/>
                      <w:rPr>
                        <w:rFonts w:ascii="楷体" w:hAnsi="楷体" w:eastAsia="楷体" w:cs="楷体"/>
                        <w:sz w:val="31"/>
                        <w:szCs w:val="31"/>
                      </w:rPr>
                    </w:pP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2018</w:t>
                    </w:r>
                    <w:r>
                      <w:rPr>
                        <w:rFonts w:ascii="楷体" w:hAnsi="楷体" w:eastAsia="楷体" w:cs="楷体"/>
                        <w:color w:val="FDEFBE"/>
                        <w:spacing w:val="-52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年度部门决算</w:t>
                    </w:r>
                    <w:r>
                      <w:rPr>
                        <w:rFonts w:ascii="Gulim" w:hAnsi="Gulim" w:eastAsia="Gulim" w:cs="Gulim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☞</w:t>
                    </w:r>
                    <w:r>
                      <w:rPr>
                        <w:rFonts w:ascii="楷体" w:hAnsi="楷体" w:eastAsia="楷体" w:cs="楷体"/>
                        <w:b/>
                        <w:bCs/>
                        <w:color w:val="FDEFBE"/>
                        <w:spacing w:val="5"/>
                        <w:sz w:val="31"/>
                        <w:szCs w:val="31"/>
                      </w:rPr>
                      <w:t>部门决算情况说明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49" w:lineRule="auto"/>
      </w:pPr>
    </w:p>
    <w:p>
      <w:pPr>
        <w:pStyle w:val="2"/>
        <w:spacing w:line="349" w:lineRule="auto"/>
      </w:pPr>
    </w:p>
    <w:p>
      <w:pPr>
        <w:spacing w:before="101" w:line="222" w:lineRule="auto"/>
        <w:ind w:left="1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营收入支出，较2017年决算无变化，与年初预算持平。</w:t>
      </w:r>
    </w:p>
    <w:p>
      <w:pPr>
        <w:spacing w:before="205" w:line="340" w:lineRule="auto"/>
        <w:ind w:left="1613" w:firstLine="4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（五）政府性基金情况说明：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年我单位政府性基金收入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108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2017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增加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</w:t>
      </w:r>
      <w:r>
        <w:rPr>
          <w:rFonts w:ascii="宋体" w:hAnsi="宋体" w:eastAsia="宋体" w:cs="宋体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4%，主要原因</w:t>
      </w:r>
      <w:r>
        <w:rPr>
          <w:rFonts w:ascii="仿宋" w:hAnsi="仿宋" w:eastAsia="仿宋" w:cs="仿宋"/>
          <w:sz w:val="31"/>
          <w:szCs w:val="31"/>
        </w:rPr>
        <w:t xml:space="preserve">是省 </w:t>
      </w:r>
      <w:r>
        <w:rPr>
          <w:rFonts w:ascii="仿宋" w:hAnsi="仿宋" w:eastAsia="仿宋" w:cs="仿宋"/>
          <w:spacing w:val="2"/>
          <w:sz w:val="31"/>
          <w:szCs w:val="31"/>
        </w:rPr>
        <w:t>级体育彩票公益金转移支付拨款增加；本年支出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57.99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年减少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28.82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万元，减少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</w:t>
      </w:r>
      <w:r>
        <w:rPr>
          <w:rFonts w:ascii="宋体" w:hAnsi="宋体" w:eastAsia="宋体" w:cs="宋体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3"/>
          <w:sz w:val="31"/>
          <w:szCs w:val="31"/>
        </w:rPr>
        <w:t>2%，原因是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年度部分体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育活动安排时间较晚，项目经费未列支。</w:t>
      </w:r>
    </w:p>
    <w:p>
      <w:pPr>
        <w:spacing w:before="46" w:line="229" w:lineRule="auto"/>
        <w:ind w:left="21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（六）其他需要说明的情况</w:t>
      </w:r>
    </w:p>
    <w:p>
      <w:pPr>
        <w:spacing w:before="197" w:line="284" w:lineRule="auto"/>
        <w:ind w:left="1603" w:right="4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1、本部门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年度结转结余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63</w:t>
      </w:r>
      <w:r>
        <w:rPr>
          <w:rFonts w:ascii="宋体" w:hAnsi="宋体" w:eastAsia="宋体" w:cs="宋体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48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万元，主要为彩票公益 </w:t>
      </w:r>
      <w:r>
        <w:rPr>
          <w:rFonts w:ascii="仿宋" w:hAnsi="仿宋" w:eastAsia="仿宋" w:cs="仿宋"/>
          <w:spacing w:val="4"/>
          <w:sz w:val="31"/>
          <w:szCs w:val="31"/>
        </w:rPr>
        <w:t>金和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年调资补发预拨部分。</w:t>
      </w:r>
    </w:p>
    <w:p>
      <w:pPr>
        <w:spacing w:before="206" w:line="305" w:lineRule="auto"/>
        <w:ind w:left="1609" w:right="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由于决算公开表格中金额数值应当保留两位小数，公开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数据为四舍五入计算结果，个别数据合计项与分项之和存在小数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点后差额，特此说明。</w:t>
      </w:r>
    </w:p>
    <w:p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400" w:right="1470" w:bottom="2108" w:left="0" w:header="0" w:footer="1939" w:gutter="0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309" w:line="251" w:lineRule="auto"/>
        <w:ind w:left="4104" w:right="3993" w:firstLine="14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color w:val="FDEFBE"/>
          <w:spacing w:val="-6"/>
          <w:sz w:val="95"/>
          <w:szCs w:val="95"/>
        </w:rPr>
        <w:t>第四部分</w:t>
      </w:r>
      <w:r>
        <w:rPr>
          <w:rFonts w:ascii="黑体" w:hAnsi="黑体" w:eastAsia="黑体" w:cs="黑体"/>
          <w:color w:val="FDEFBE"/>
          <w:sz w:val="95"/>
          <w:szCs w:val="95"/>
        </w:rPr>
        <w:t xml:space="preserve"> </w:t>
      </w:r>
      <w:r>
        <w:rPr>
          <w:rFonts w:ascii="黑体" w:hAnsi="黑体" w:eastAsia="黑体" w:cs="黑体"/>
          <w:color w:val="FDEFBE"/>
          <w:spacing w:val="-3"/>
          <w:sz w:val="95"/>
          <w:szCs w:val="95"/>
        </w:rPr>
        <w:t>名词解释</w:t>
      </w:r>
    </w:p>
    <w:p>
      <w:pPr>
        <w:spacing w:line="251" w:lineRule="auto"/>
        <w:rPr>
          <w:rFonts w:ascii="黑体" w:hAnsi="黑体" w:eastAsia="黑体" w:cs="黑体"/>
          <w:sz w:val="95"/>
          <w:szCs w:val="95"/>
        </w:rPr>
        <w:sectPr>
          <w:headerReference r:id="rId28" w:type="default"/>
          <w:footerReference r:id="rId29" w:type="default"/>
          <w:pgSz w:w="11906" w:h="16839"/>
          <w:pgMar w:top="400" w:right="16" w:bottom="400" w:left="0" w:header="0" w:footer="0" w:gutter="0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3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（一）财政拨款收入</w:t>
      </w:r>
      <w:r>
        <w:rPr>
          <w:rFonts w:ascii="楷体" w:hAnsi="楷体" w:eastAsia="楷体" w:cs="楷体"/>
          <w:spacing w:val="-6"/>
          <w:sz w:val="31"/>
          <w:szCs w:val="31"/>
        </w:rPr>
        <w:t>：</w:t>
      </w:r>
      <w:r>
        <w:rPr>
          <w:rFonts w:ascii="仿宋" w:hAnsi="仿宋" w:eastAsia="仿宋" w:cs="仿宋"/>
          <w:spacing w:val="-6"/>
          <w:sz w:val="31"/>
          <w:szCs w:val="31"/>
        </w:rPr>
        <w:t>指本年度从财政部门取得的财政拨款。</w:t>
      </w:r>
    </w:p>
    <w:p>
      <w:pPr>
        <w:spacing w:before="192" w:line="325" w:lineRule="auto"/>
        <w:ind w:right="84" w:firstLine="67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（二）年初结转和结余：</w:t>
      </w:r>
      <w:r>
        <w:rPr>
          <w:rFonts w:ascii="仿宋" w:hAnsi="仿宋" w:eastAsia="仿宋" w:cs="仿宋"/>
          <w:spacing w:val="3"/>
          <w:sz w:val="31"/>
          <w:szCs w:val="31"/>
        </w:rPr>
        <w:t>指以前年度尚未完成、结转</w:t>
      </w:r>
      <w:r>
        <w:rPr>
          <w:rFonts w:ascii="仿宋" w:hAnsi="仿宋" w:eastAsia="仿宋" w:cs="仿宋"/>
          <w:spacing w:val="2"/>
          <w:sz w:val="31"/>
          <w:szCs w:val="31"/>
        </w:rPr>
        <w:t>到本年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仍按原规定用途继续使用的资金。</w:t>
      </w:r>
    </w:p>
    <w:p>
      <w:pPr>
        <w:spacing w:before="69" w:line="324" w:lineRule="auto"/>
        <w:ind w:left="16" w:right="89" w:firstLine="65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（三）结余分配：</w:t>
      </w:r>
      <w:r>
        <w:rPr>
          <w:rFonts w:ascii="仿宋" w:hAnsi="仿宋" w:eastAsia="仿宋" w:cs="仿宋"/>
          <w:spacing w:val="3"/>
          <w:sz w:val="31"/>
          <w:szCs w:val="31"/>
        </w:rPr>
        <w:t>指事业单位按照事业单位会计制度的规定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从非财政补助结余中分配的事业基金和职工福利基金等。</w:t>
      </w:r>
    </w:p>
    <w:p>
      <w:pPr>
        <w:spacing w:before="73" w:line="333" w:lineRule="auto"/>
        <w:ind w:left="12" w:right="86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（四）年末结转和结余：</w:t>
      </w:r>
      <w:r>
        <w:rPr>
          <w:rFonts w:ascii="仿宋" w:hAnsi="仿宋" w:eastAsia="仿宋" w:cs="仿宋"/>
          <w:spacing w:val="3"/>
          <w:sz w:val="31"/>
          <w:szCs w:val="31"/>
        </w:rPr>
        <w:t>指本年度或以前年度预</w:t>
      </w:r>
      <w:r>
        <w:rPr>
          <w:rFonts w:ascii="仿宋" w:hAnsi="仿宋" w:eastAsia="仿宋" w:cs="仿宋"/>
          <w:spacing w:val="2"/>
          <w:sz w:val="31"/>
          <w:szCs w:val="31"/>
        </w:rPr>
        <w:t>算安排、因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客观条件发生变化无法按原计划实施，需要延迟到以后年度按有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关规定继续使用的资金。</w:t>
      </w:r>
    </w:p>
    <w:p>
      <w:pPr>
        <w:spacing w:before="62" w:line="284" w:lineRule="auto"/>
        <w:ind w:left="14" w:right="89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（五）基本支出：</w:t>
      </w:r>
      <w:r>
        <w:rPr>
          <w:rFonts w:ascii="仿宋" w:hAnsi="仿宋" w:eastAsia="仿宋" w:cs="仿宋"/>
          <w:spacing w:val="3"/>
          <w:sz w:val="31"/>
          <w:szCs w:val="31"/>
        </w:rPr>
        <w:t>指为保障机构正常运转、完成日常工作任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务而发生的人员支出和公用支出。</w:t>
      </w:r>
    </w:p>
    <w:p>
      <w:pPr>
        <w:spacing w:before="203" w:line="285" w:lineRule="auto"/>
        <w:ind w:left="18"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（六）项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目支出：</w:t>
      </w:r>
      <w:r>
        <w:rPr>
          <w:rFonts w:ascii="仿宋" w:hAnsi="仿宋" w:eastAsia="仿宋" w:cs="仿宋"/>
          <w:sz w:val="31"/>
          <w:szCs w:val="31"/>
        </w:rPr>
        <w:t>指在基本支出之外为完成特定</w:t>
      </w:r>
      <w:r>
        <w:rPr>
          <w:rFonts w:ascii="仿宋" w:hAnsi="仿宋" w:eastAsia="仿宋" w:cs="仿宋"/>
          <w:spacing w:val="-1"/>
          <w:sz w:val="31"/>
          <w:szCs w:val="31"/>
        </w:rPr>
        <w:t>行政任务和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事业发展目标所发生的支出。</w:t>
      </w:r>
    </w:p>
    <w:p>
      <w:pPr>
        <w:spacing w:before="205" w:line="330" w:lineRule="auto"/>
        <w:ind w:right="86" w:firstLine="67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（七）“三公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”经费：</w:t>
      </w:r>
      <w:r>
        <w:rPr>
          <w:rFonts w:ascii="仿宋" w:hAnsi="仿宋" w:eastAsia="仿宋" w:cs="仿宋"/>
          <w:sz w:val="31"/>
          <w:szCs w:val="31"/>
        </w:rPr>
        <w:t>财政预决算管理的“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三</w:t>
      </w:r>
      <w:r>
        <w:rPr>
          <w:rFonts w:ascii="仿宋" w:hAnsi="仿宋" w:eastAsia="仿宋" w:cs="仿宋"/>
          <w:spacing w:val="-1"/>
          <w:sz w:val="31"/>
          <w:szCs w:val="31"/>
        </w:rPr>
        <w:t>公”经费指部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门用财政拨款安排的因公出国（境）费、公务用车购置及运行维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护费和公务接待费。其中，因公出国（境）费反映单位公务出国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（境）的国际旅费、国外城市间交通费、住宿费、伙食费、培训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费、公杂费等支出；公务用车购置及运行维护费反映单位公务用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车购置支出（含车辆购置税）及租用费、燃料费、维修费、过路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过桥费、保险费、安全奖励费用等支出；公务接待费反映单位按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规定开支的各类公务接待（含外宾接待）支出。</w:t>
      </w:r>
    </w:p>
    <w:p>
      <w:pPr>
        <w:spacing w:before="207" w:line="230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（八）机关运行经费：</w:t>
      </w:r>
      <w:r>
        <w:rPr>
          <w:rFonts w:ascii="仿宋" w:hAnsi="仿宋" w:eastAsia="仿宋" w:cs="仿宋"/>
          <w:spacing w:val="3"/>
          <w:sz w:val="31"/>
          <w:szCs w:val="31"/>
        </w:rPr>
        <w:t>指为保障行政单位（包括</w:t>
      </w:r>
      <w:r>
        <w:rPr>
          <w:rFonts w:ascii="仿宋" w:hAnsi="仿宋" w:eastAsia="仿宋" w:cs="仿宋"/>
          <w:spacing w:val="2"/>
          <w:sz w:val="31"/>
          <w:szCs w:val="31"/>
        </w:rPr>
        <w:t>参照公务员</w:t>
      </w:r>
    </w:p>
    <w:p>
      <w:pPr>
        <w:spacing w:line="230" w:lineRule="auto"/>
        <w:rPr>
          <w:rFonts w:ascii="仿宋" w:hAnsi="仿宋" w:eastAsia="仿宋" w:cs="仿宋"/>
          <w:sz w:val="31"/>
          <w:szCs w:val="31"/>
        </w:rPr>
        <w:sectPr>
          <w:headerReference r:id="rId30" w:type="default"/>
          <w:footerReference r:id="rId31" w:type="default"/>
          <w:pgSz w:w="11906" w:h="16839"/>
          <w:pgMar w:top="400" w:right="1384" w:bottom="2108" w:left="1592" w:header="0" w:footer="1939" w:gutter="0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337" w:lineRule="auto"/>
        <w:ind w:left="14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法管理的事业单位）运行用于购买货物和服务的各项资</w:t>
      </w:r>
      <w:r>
        <w:rPr>
          <w:rFonts w:ascii="仿宋" w:hAnsi="仿宋" w:eastAsia="仿宋" w:cs="仿宋"/>
          <w:spacing w:val="4"/>
          <w:sz w:val="31"/>
          <w:szCs w:val="31"/>
        </w:rPr>
        <w:t>金，包括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办公及印刷费、邮电费、差旅费、会议费、福利费、日常维修费、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专用材料以及一般设备购置费、办公用房水电费、办公用房取暖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费、办公用房物业管理费、公务用车运行维护费以及其他费用。</w:t>
      </w:r>
    </w:p>
    <w:p>
      <w:pPr>
        <w:spacing w:before="52" w:line="285" w:lineRule="auto"/>
        <w:ind w:left="3" w:right="2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（九）文化体育和传媒支出：</w:t>
      </w:r>
      <w:r>
        <w:rPr>
          <w:rFonts w:ascii="仿宋" w:hAnsi="仿宋" w:eastAsia="仿宋" w:cs="仿宋"/>
          <w:spacing w:val="-6"/>
          <w:sz w:val="31"/>
          <w:szCs w:val="31"/>
        </w:rPr>
        <w:t>反映政府在文化、文物、体育、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广播影视、新闻出版等方面的支出。</w:t>
      </w:r>
    </w:p>
    <w:p>
      <w:pPr>
        <w:spacing w:before="204" w:line="285" w:lineRule="auto"/>
        <w:ind w:left="10" w:right="97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（十）行政事业单位离退休：</w:t>
      </w:r>
      <w:r>
        <w:rPr>
          <w:rFonts w:ascii="仿宋" w:hAnsi="仿宋" w:eastAsia="仿宋" w:cs="仿宋"/>
          <w:spacing w:val="2"/>
          <w:sz w:val="31"/>
          <w:szCs w:val="31"/>
        </w:rPr>
        <w:t>反映用于行政事业单位离退休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方面的支出。</w:t>
      </w:r>
    </w:p>
    <w:p>
      <w:pPr>
        <w:spacing w:before="203" w:line="323" w:lineRule="auto"/>
        <w:ind w:left="12" w:right="97" w:firstLine="65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（十一）住房改革支出</w:t>
      </w:r>
      <w:r>
        <w:rPr>
          <w:rFonts w:ascii="仿宋" w:hAnsi="仿宋" w:eastAsia="仿宋" w:cs="仿宋"/>
          <w:spacing w:val="3"/>
          <w:sz w:val="31"/>
          <w:szCs w:val="31"/>
        </w:rPr>
        <w:t>：反映行政事业单位用财政拨款</w:t>
      </w:r>
      <w:r>
        <w:rPr>
          <w:rFonts w:ascii="仿宋" w:hAnsi="仿宋" w:eastAsia="仿宋" w:cs="仿宋"/>
          <w:spacing w:val="2"/>
          <w:sz w:val="31"/>
          <w:szCs w:val="31"/>
        </w:rPr>
        <w:t>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和其他资金等安排的住房改革支出。</w:t>
      </w:r>
    </w:p>
    <w:p>
      <w:pPr>
        <w:spacing w:before="75" w:line="337" w:lineRule="auto"/>
        <w:ind w:right="97" w:firstLine="66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（十二）政府性基金</w:t>
      </w:r>
      <w:r>
        <w:rPr>
          <w:rFonts w:ascii="仿宋" w:hAnsi="仿宋" w:eastAsia="仿宋" w:cs="仿宋"/>
          <w:spacing w:val="3"/>
          <w:sz w:val="31"/>
          <w:szCs w:val="31"/>
        </w:rPr>
        <w:t>：是指各级人民政府及其所属部门根据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法律、行政法规和中共中央、国务院文件规定，为支持特定公共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基础设施建设和公共事业发展，向公民、法人和其他组织无偿征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收的具有专项用途的财政资金。</w:t>
      </w:r>
    </w:p>
    <w:p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400" w:right="1373" w:bottom="2108" w:left="1596" w:header="0" w:footer="1939" w:gutter="0"/>
        </w:sectPr>
      </w:pPr>
    </w:p>
    <w:p>
      <w:pPr>
        <w:spacing w:line="16825" w:lineRule="exact"/>
      </w:pPr>
      <w:r>
        <w:rPr>
          <w:position w:val="-336"/>
        </w:rPr>
        <w:drawing>
          <wp:inline distT="0" distB="0" distL="0" distR="0">
            <wp:extent cx="7541895" cy="106838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542021" cy="1068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3" w:type="default"/>
      <w:pgSz w:w="11906" w:h="16839"/>
      <w:pgMar w:top="1" w:right="0" w:bottom="1" w:left="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70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position w:val="-3"/>
        <w:sz w:val="21"/>
        <w:szCs w:val="21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2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2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328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45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445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sz w:val="21"/>
        <w:szCs w:val="21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45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45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1"/>
        <w:sz w:val="21"/>
        <w:szCs w:val="21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2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327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5"/>
        <w:position w:val="-3"/>
        <w:sz w:val="21"/>
        <w:szCs w:val="21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71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position w:val="-3"/>
        <w:sz w:val="21"/>
        <w:szCs w:val="21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324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5"/>
        <w:position w:val="-3"/>
        <w:sz w:val="21"/>
        <w:szCs w:val="21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5972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exact"/>
      <w:ind w:left="5002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position w:val="-3"/>
        <w:sz w:val="21"/>
        <w:szCs w:val="21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5967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position w:val="-3"/>
        <w:sz w:val="21"/>
        <w:szCs w:val="21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exact"/>
      <w:ind w:left="4325"/>
      <w:rPr>
        <w:rFonts w:ascii="Cambria" w:hAnsi="Cambria" w:eastAsia="Cambria" w:cs="Cambria"/>
        <w:sz w:val="21"/>
        <w:szCs w:val="21"/>
      </w:rPr>
    </w:pPr>
    <w:r>
      <w:rPr>
        <w:rFonts w:ascii="Cambria" w:hAnsi="Cambria" w:eastAsia="Cambria" w:cs="Cambria"/>
        <w:spacing w:val="-17"/>
        <w:position w:val="-3"/>
        <w:sz w:val="21"/>
        <w:szCs w:val="21"/>
      </w:rPr>
      <w:t>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19685</wp:posOffset>
          </wp:positionV>
          <wp:extent cx="7560310" cy="1067244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7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478155</wp:posOffset>
          </wp:positionV>
          <wp:extent cx="7560310" cy="1021334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213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40625" cy="1068006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680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150" cy="1067117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896" cy="10671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7462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150" cy="10671175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896" cy="10671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66B24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11.png"/><Relationship Id="rId40" Type="http://schemas.openxmlformats.org/officeDocument/2006/relationships/image" Target="media/image10.png"/><Relationship Id="rId4" Type="http://schemas.openxmlformats.org/officeDocument/2006/relationships/header" Target="header2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theme" Target="theme/theme1.xm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header" Target="header10.xml"/><Relationship Id="rId3" Type="http://schemas.openxmlformats.org/officeDocument/2006/relationships/header" Target="header1.xml"/><Relationship Id="rId29" Type="http://schemas.openxmlformats.org/officeDocument/2006/relationships/footer" Target="footer18.xml"/><Relationship Id="rId28" Type="http://schemas.openxmlformats.org/officeDocument/2006/relationships/header" Target="header9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5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  <customShpInfo spid="_x0000_s1047"/>
    <customShpInfo spid="_x0000_s1048"/>
    <customShpInfo spid="_x0000_s1046"/>
    <customShpInfo spid="_x0000_s1050"/>
    <customShpInfo spid="_x0000_s1051"/>
    <customShpInfo spid="_x0000_s1052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2021-05-25T09:47:00Z</dcterms:created>
  <dc:creator>User</dc:creator>
  <cp:lastModifiedBy>Administrator</cp:lastModifiedBy>
  <dcterms:modified xsi:type="dcterms:W3CDTF">2024-05-24T01:12:25Z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2024-05-24T09:04:34Z</vt:filetime>
  </property>
  <property fmtid="{D5CDD505-2E9C-101B-9397-08002B2CF9AE}" pid="4" name="KSOProductBuildVer">
    <vt:lpwstr>2052-11.8.2.8808</vt:lpwstr>
  </property>
</Properties>
</file>