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emf" ContentType="image/x-e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6432;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v:textbox>
              </v:shape>
            </w:pict>
          </mc:Fallback>
        </mc:AlternateContent>
      </w:r>
      <w:r>
        <w:drawing>
          <wp:anchor distT="0" distB="0" distL="114300" distR="114300" simplePos="0" relativeHeight="251667456"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a:stretch>
                      <a:fillRect/>
                    </a:stretch>
                  </pic:blipFill>
                  <pic:spPr>
                    <a:xfrm>
                      <a:off x="0" y="0"/>
                      <a:ext cx="7592060" cy="10739755"/>
                    </a:xfrm>
                    <a:prstGeom prst="rect">
                      <a:avLst/>
                    </a:prstGeom>
                  </pic:spPr>
                </pic:pic>
              </a:graphicData>
            </a:graphic>
          </wp:anchor>
        </w:drawing>
      </w:r>
      <w:r>
        <w:br w:type="page"/>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中国人民政治协商会议昌黎县委员会</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二〇二一年十一月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ascii="黑体" w:hAnsi="黑体" w:eastAsia="黑体" w:cs="黑体"/>
          <w:sz w:val="72"/>
          <w:szCs w:val="96"/>
        </w:rPr>
      </w:pPr>
      <w:r>
        <w:rPr>
          <w:rFonts w:hint="eastAsia" w:ascii="黑体" w:hAnsi="黑体" w:eastAsia="黑体" w:cs="黑体"/>
          <w:sz w:val="72"/>
          <w:szCs w:val="96"/>
        </w:rPr>
        <w:t>中国人民政治协商会议</w:t>
      </w:r>
    </w:p>
    <w:p>
      <w:pPr>
        <w:jc w:val="center"/>
        <w:rPr>
          <w:rFonts w:ascii="黑体" w:hAnsi="黑体" w:eastAsia="黑体" w:cs="黑体"/>
          <w:sz w:val="72"/>
          <w:szCs w:val="96"/>
          <w:highlight w:val="yellow"/>
        </w:rPr>
      </w:pPr>
      <w:r>
        <w:rPr>
          <w:rFonts w:hint="eastAsia" w:ascii="黑体" w:hAnsi="黑体" w:eastAsia="黑体" w:cs="黑体"/>
          <w:sz w:val="72"/>
          <w:szCs w:val="96"/>
        </w:rPr>
        <w:t>昌黎县委员会</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二〇二一年十一月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f95gjcAAAADQEAAA8A&#10;AAAAAAAAAQAgAAAAIgAAAGRycy9kb3ducmV2LnhtbFBLAQIUABQAAAAIAIdO4kCVxoSdhQIAACMF&#10;AAAOAAAAAAAAAAEAIAAAACsBAABkcnMvZTJvRG9jLnhtbFBLBQYAAAAABgAGAFkBAAAiBgAAAAA=&#10;">
                <v:fill type="pattern" on="t" color2="#FFFFFF [3212]"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contextualSpacing/>
        <w:rPr>
          <w:rFonts w:ascii="仿宋" w:hAnsi="仿宋" w:eastAsia="仿宋"/>
          <w:sz w:val="32"/>
          <w:szCs w:val="32"/>
        </w:rPr>
      </w:pPr>
      <w:r>
        <w:rPr>
          <w:rFonts w:hint="eastAsia" w:ascii="仿宋" w:hAnsi="仿宋" w:eastAsia="仿宋"/>
          <w:sz w:val="32"/>
          <w:szCs w:val="32"/>
        </w:rPr>
        <w:t>昌黎县政协的主要职能是政治协商和民主监督，组织参加政协的各党派、团体和各族各界人士参政议政。政治协商是对国家和地方的大政方针以及政治、经济、文化和社会生活中的重要问题在决策之前进行协商，以及就决策执行过程中的重要问题进行协商。民主监督是对国家宪法、法律和法规的实施情况，对中共中央与国家领导机关制定的重大方针、政策的贯彻执行情况，对国家机关及其工作人员在履行职责、遵纪守法、为政清廉等方面的情况，通过建议和批评进行监督。参政议政是政治协商和民主监督的拓展和延伸。</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从决算编报单位构成看，纳入20</w:t>
      </w:r>
      <w:r>
        <w:rPr>
          <w:rFonts w:hint="eastAsia" w:ascii="仿宋" w:hAnsi="仿宋" w:eastAsia="仿宋" w:cs="ArialUnicodeMS"/>
          <w:kern w:val="0"/>
          <w:sz w:val="32"/>
          <w:szCs w:val="32"/>
          <w:lang w:val="en-US" w:eastAsia="zh-CN"/>
        </w:rPr>
        <w:t>20</w:t>
      </w:r>
      <w:r>
        <w:rPr>
          <w:rFonts w:hint="eastAsia" w:ascii="仿宋" w:hAnsi="仿宋" w:eastAsia="仿宋" w:cs="ArialUnicodeMS"/>
          <w:kern w:val="0"/>
          <w:sz w:val="32"/>
          <w:szCs w:val="32"/>
        </w:rPr>
        <w:t xml:space="preserve"> 年度本部门决算汇编范围的独立核算单位（以下简称“单位”）共1个，具体情况如下：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26" w:type="dxa"/>
          </w:tcPr>
          <w:p>
            <w:pPr>
              <w:spacing w:line="320" w:lineRule="exact"/>
              <w:jc w:val="center"/>
              <w:rPr>
                <w:rFonts w:ascii="仿宋_GB2312" w:hAnsi="Calibri" w:eastAsia="仿宋_GB2312" w:cs="ArialUnicodeMS"/>
                <w:kern w:val="0"/>
                <w:szCs w:val="21"/>
              </w:rPr>
            </w:pPr>
            <w:r>
              <w:rPr>
                <w:rFonts w:hint="eastAsia" w:ascii="仿宋_GB2312" w:hAnsi="Calibri" w:eastAsia="仿宋_GB2312" w:cs="ArialUnicodeMS"/>
                <w:kern w:val="0"/>
                <w:szCs w:val="21"/>
              </w:rPr>
              <w:t>中国人民政治协商会议昌黎县委员会(本级)</w:t>
            </w:r>
          </w:p>
        </w:tc>
        <w:tc>
          <w:tcPr>
            <w:tcW w:w="2404"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22"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wXDtHdAAAADgEAAA8A&#10;AAAAAAAAAQAgAAAAIgAAAGRycy9kb3ducmV2LnhtbFBLAQIUABQAAAAIAIdO4kBTlixyhAIAAB8F&#10;AAAOAAAAAAAAAAEAIAAAACwBAABkcnMvZTJvRG9jLnhtbFBLBQYAAAAABgAGAFkBAAAiBgAAAAA=&#10;">
                <v:fill type="pattern" on="t" color2="#FFFFFF [3212]"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本部门2020年度收、支总计（含结转和结余）384.02万元。与2019年度决算相比，收支各减少30.82万元，下降7.43%，主要原因是</w:t>
      </w:r>
      <w:r>
        <w:rPr>
          <w:rFonts w:hint="eastAsia" w:ascii="仿宋" w:hAnsi="仿宋" w:eastAsia="仿宋" w:cs="DengXian-Regular"/>
          <w:sz w:val="32"/>
          <w:szCs w:val="32"/>
        </w:rPr>
        <w:t>严格控制三公经费和机关经费。</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3360" behindDoc="1" locked="0" layoutInCell="1" allowOverlap="1">
            <wp:simplePos x="0" y="0"/>
            <wp:positionH relativeFrom="column">
              <wp:posOffset>744220</wp:posOffset>
            </wp:positionH>
            <wp:positionV relativeFrom="paragraph">
              <wp:posOffset>62230</wp:posOffset>
            </wp:positionV>
            <wp:extent cx="4157980" cy="2273300"/>
            <wp:effectExtent l="0" t="0" r="0" b="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hint="eastAsia"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部门2020年度本年收入合计382.77万元，其中：财政拨款收入382.77万元，占100%。</w:t>
      </w:r>
    </w:p>
    <w:p>
      <w:pPr>
        <w:adjustRightInd w:val="0"/>
        <w:snapToGrid w:val="0"/>
        <w:spacing w:line="600" w:lineRule="exact"/>
        <w:ind w:firstLine="420" w:firstLineChars="200"/>
        <w:rPr>
          <w:rFonts w:hint="eastAsia" w:ascii="仿宋_GB2312" w:hAnsi="Times New Roman" w:eastAsia="仿宋_GB2312" w:cs="Wingdings"/>
          <w:color w:val="000000" w:themeColor="text1"/>
          <w:sz w:val="32"/>
          <w:szCs w:val="32"/>
          <w14:textFill>
            <w14:solidFill>
              <w14:schemeClr w14:val="tx1"/>
            </w14:solidFill>
          </w14:textFill>
        </w:rPr>
      </w:pPr>
      <w:r>
        <w:drawing>
          <wp:anchor distT="0" distB="0" distL="114300" distR="114300" simplePos="0" relativeHeight="251674624" behindDoc="1" locked="0" layoutInCell="1" allowOverlap="1">
            <wp:simplePos x="0" y="0"/>
            <wp:positionH relativeFrom="column">
              <wp:posOffset>1247775</wp:posOffset>
            </wp:positionH>
            <wp:positionV relativeFrom="paragraph">
              <wp:posOffset>66675</wp:posOffset>
            </wp:positionV>
            <wp:extent cx="3412490" cy="2051050"/>
            <wp:effectExtent l="0" t="0" r="16510" b="6350"/>
            <wp:wrapThrough wrapText="bothSides">
              <wp:wrapPolygon>
                <wp:start x="0" y="0"/>
                <wp:lineTo x="0" y="21466"/>
                <wp:lineTo x="21463" y="21466"/>
                <wp:lineTo x="21463" y="0"/>
                <wp:lineTo x="0" y="0"/>
              </wp:wrapPolygon>
            </wp:wrapThrough>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3"/>
                    <a:stretch>
                      <a:fillRect/>
                    </a:stretch>
                  </pic:blipFill>
                  <pic:spPr>
                    <a:xfrm>
                      <a:off x="0" y="0"/>
                      <a:ext cx="3412490" cy="2051050"/>
                    </a:xfrm>
                    <a:prstGeom prst="rect">
                      <a:avLst/>
                    </a:prstGeom>
                    <a:noFill/>
                    <a:ln>
                      <a:noFill/>
                    </a:ln>
                  </pic:spPr>
                </pic:pic>
              </a:graphicData>
            </a:graphic>
          </wp:anchor>
        </w:drawing>
      </w:r>
    </w:p>
    <w:p>
      <w:pPr>
        <w:adjustRightInd w:val="0"/>
        <w:snapToGrid w:val="0"/>
        <w:spacing w:line="600" w:lineRule="exact"/>
        <w:ind w:firstLine="640" w:firstLineChars="200"/>
        <w:rPr>
          <w:rFonts w:hint="eastAsia" w:ascii="仿宋_GB2312" w:hAnsi="Times New Roman" w:eastAsia="仿宋_GB2312" w:cs="Wingdings"/>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仿宋_GB2312" w:hAnsi="Times New Roman" w:eastAsia="仿宋_GB2312" w:cs="Wingdings"/>
          <w:color w:val="000000" w:themeColor="text1"/>
          <w:sz w:val="32"/>
          <w:szCs w:val="32"/>
          <w14:textFill>
            <w14:solidFill>
              <w14:schemeClr w14:val="tx1"/>
            </w14:solidFill>
          </w14:textFill>
        </w:rPr>
      </w:pPr>
    </w:p>
    <w:p>
      <w:pPr>
        <w:snapToGrid w:val="0"/>
        <w:spacing w:line="600" w:lineRule="exact"/>
        <w:ind w:firstLine="640" w:firstLineChars="200"/>
        <w:outlineLvl w:val="1"/>
        <w:rPr>
          <w:rFonts w:hint="eastAsia" w:ascii="黑体" w:hAnsi="Calibri" w:eastAsia="黑体" w:cs="Times New Roman"/>
          <w:sz w:val="32"/>
          <w:szCs w:val="32"/>
        </w:rPr>
      </w:pPr>
    </w:p>
    <w:p>
      <w:pPr>
        <w:snapToGrid w:val="0"/>
        <w:spacing w:line="600" w:lineRule="exact"/>
        <w:ind w:firstLine="640" w:firstLineChars="200"/>
        <w:outlineLvl w:val="1"/>
        <w:rPr>
          <w:rFonts w:hint="eastAsia" w:ascii="黑体" w:hAnsi="Calibri" w:eastAsia="黑体" w:cs="Times New Roman"/>
          <w:sz w:val="32"/>
          <w:szCs w:val="32"/>
        </w:rPr>
      </w:pPr>
    </w:p>
    <w:p>
      <w:pPr>
        <w:snapToGrid w:val="0"/>
        <w:spacing w:line="600" w:lineRule="exact"/>
        <w:ind w:firstLine="640" w:firstLineChars="200"/>
        <w:outlineLvl w:val="1"/>
        <w:rPr>
          <w:rFonts w:hint="eastAsia" w:ascii="黑体" w:hAnsi="Calibri" w:eastAsia="黑体" w:cs="Times New Roman"/>
          <w:sz w:val="32"/>
          <w:szCs w:val="32"/>
        </w:rPr>
      </w:pP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本部门2020年度本年支出合计384.01万元，其中：基本支出305.96万元，占79.68%；项目支出78.05万元，占20.32%。</w:t>
      </w:r>
    </w:p>
    <w:p>
      <w:pPr>
        <w:adjustRightInd w:val="0"/>
        <w:snapToGrid w:val="0"/>
        <w:spacing w:line="600" w:lineRule="exact"/>
        <w:ind w:firstLine="420" w:firstLineChars="200"/>
        <w:rPr>
          <w:rFonts w:hint="eastAsia" w:ascii="仿宋_GB2312" w:hAnsi="Times New Roman" w:eastAsia="仿宋_GB2312" w:cs="Wingdings"/>
          <w:sz w:val="32"/>
          <w:szCs w:val="32"/>
        </w:rPr>
      </w:pPr>
      <w:r>
        <w:drawing>
          <wp:anchor distT="0" distB="0" distL="114300" distR="114300" simplePos="0" relativeHeight="251675648" behindDoc="1" locked="0" layoutInCell="1" allowOverlap="1">
            <wp:simplePos x="0" y="0"/>
            <wp:positionH relativeFrom="column">
              <wp:posOffset>1019175</wp:posOffset>
            </wp:positionH>
            <wp:positionV relativeFrom="paragraph">
              <wp:posOffset>123825</wp:posOffset>
            </wp:positionV>
            <wp:extent cx="3736975" cy="2118360"/>
            <wp:effectExtent l="0" t="0" r="0" b="0"/>
            <wp:wrapThrough wrapText="bothSides">
              <wp:wrapPolygon>
                <wp:start x="0" y="0"/>
                <wp:lineTo x="0" y="21367"/>
                <wp:lineTo x="21472" y="21367"/>
                <wp:lineTo x="21472" y="0"/>
                <wp:lineTo x="0" y="0"/>
              </wp:wrapPolygon>
            </wp:wrapThrough>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14"/>
                    <a:stretch>
                      <a:fillRect/>
                    </a:stretch>
                  </pic:blipFill>
                  <pic:spPr>
                    <a:xfrm>
                      <a:off x="0" y="0"/>
                      <a:ext cx="3736975" cy="2118360"/>
                    </a:xfrm>
                    <a:prstGeom prst="rect">
                      <a:avLst/>
                    </a:prstGeom>
                    <a:noFill/>
                    <a:ln>
                      <a:noFill/>
                    </a:ln>
                  </pic:spPr>
                </pic:pic>
              </a:graphicData>
            </a:graphic>
          </wp:anchor>
        </w:drawing>
      </w: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本部门2020年度财政拨款收支均为一般公共预算财政拨款，其中本年收入382.77万元,比2019年度减少21.07万元，降低5.22%，主要是</w:t>
      </w:r>
      <w:r>
        <w:rPr>
          <w:rFonts w:hint="eastAsia" w:ascii="仿宋" w:hAnsi="仿宋" w:eastAsia="仿宋" w:cs="DengXian-Regular"/>
          <w:sz w:val="32"/>
          <w:szCs w:val="32"/>
        </w:rPr>
        <w:t>严格控制三公经费和机关经费</w:t>
      </w:r>
      <w:r>
        <w:rPr>
          <w:rFonts w:hint="eastAsia" w:ascii="仿宋_GB2312" w:hAnsi="Times New Roman" w:eastAsia="仿宋_GB2312" w:cs="Wingdings"/>
          <w:sz w:val="32"/>
          <w:szCs w:val="32"/>
        </w:rPr>
        <w:t>；本年支出384.01万元，减少26.73万元，降低6.5%，主要是</w:t>
      </w:r>
      <w:r>
        <w:rPr>
          <w:rFonts w:hint="eastAsia" w:ascii="仿宋" w:hAnsi="仿宋" w:eastAsia="仿宋" w:cs="DengXian-Regular"/>
          <w:sz w:val="32"/>
          <w:szCs w:val="32"/>
        </w:rPr>
        <w:t>严格控制三公经费和机关经费</w:t>
      </w:r>
      <w:r>
        <w:rPr>
          <w:rFonts w:hint="eastAsia" w:ascii="仿宋_GB2312" w:hAnsi="Times New Roman" w:eastAsia="仿宋_GB2312" w:cs="Wingdings"/>
          <w:sz w:val="32"/>
          <w:szCs w:val="32"/>
        </w:rPr>
        <w:t>。</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382.77万元，完成年初预算的95.03%,比年初预算减少21万元，决算数小于预算数主要原因是严格控制三公经费和机关经费。本年支出384.01万元，完成年初预算的95.11%,比年初预算减少19.76万元，决算数小于预算数主要原因是</w:t>
      </w:r>
      <w:r>
        <w:rPr>
          <w:rFonts w:hint="eastAsia" w:ascii="仿宋" w:hAnsi="仿宋" w:eastAsia="仿宋" w:cs="DengXian-Regular"/>
          <w:sz w:val="32"/>
          <w:szCs w:val="32"/>
        </w:rPr>
        <w:t>严格控制三公经费和机关经费</w:t>
      </w:r>
      <w:r>
        <w:rPr>
          <w:rFonts w:hint="eastAsia" w:ascii="仿宋_GB2312" w:hAnsi="Times New Roman" w:eastAsia="仿宋_GB2312" w:cs="Wingdings"/>
          <w:sz w:val="32"/>
          <w:szCs w:val="32"/>
        </w:rPr>
        <w:t>。</w:t>
      </w: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年度财政拨款支出382.77万元，主要用于以下方面：一般公共服务（类）支出356.12万元，占93.04%；卫生健康（类）支出13.56万元，占3.54%；住房保障（类）支出13.09万元，占 3.42%。</w:t>
      </w:r>
    </w:p>
    <w:p>
      <w:pPr>
        <w:adjustRightInd w:val="0"/>
        <w:snapToGrid w:val="0"/>
        <w:spacing w:line="600" w:lineRule="exact"/>
        <w:ind w:firstLine="420" w:firstLineChars="200"/>
        <w:rPr>
          <w:rFonts w:hint="eastAsia" w:ascii="仿宋_GB2312" w:hAnsi="Times New Roman" w:eastAsia="仿宋_GB2312" w:cs="Wingdings"/>
          <w:sz w:val="32"/>
          <w:szCs w:val="32"/>
        </w:rPr>
      </w:pPr>
      <w:r>
        <w:drawing>
          <wp:anchor distT="0" distB="0" distL="114300" distR="114300" simplePos="0" relativeHeight="251676672" behindDoc="1" locked="0" layoutInCell="1" allowOverlap="1">
            <wp:simplePos x="0" y="0"/>
            <wp:positionH relativeFrom="column">
              <wp:posOffset>952500</wp:posOffset>
            </wp:positionH>
            <wp:positionV relativeFrom="paragraph">
              <wp:posOffset>180975</wp:posOffset>
            </wp:positionV>
            <wp:extent cx="3277235" cy="1951355"/>
            <wp:effectExtent l="0" t="0" r="37465" b="29845"/>
            <wp:wrapThrough wrapText="bothSides">
              <wp:wrapPolygon>
                <wp:start x="0" y="0"/>
                <wp:lineTo x="0" y="21298"/>
                <wp:lineTo x="21470" y="21298"/>
                <wp:lineTo x="21470" y="0"/>
                <wp:lineTo x="0" y="0"/>
              </wp:wrapPolygon>
            </wp:wrapThrough>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15"/>
                    <a:stretch>
                      <a:fillRect/>
                    </a:stretch>
                  </pic:blipFill>
                  <pic:spPr>
                    <a:xfrm>
                      <a:off x="0" y="0"/>
                      <a:ext cx="3277235" cy="1951355"/>
                    </a:xfrm>
                    <a:prstGeom prst="rect">
                      <a:avLst/>
                    </a:prstGeom>
                    <a:noFill/>
                    <a:ln>
                      <a:noFill/>
                    </a:ln>
                  </pic:spPr>
                </pic:pic>
              </a:graphicData>
            </a:graphic>
          </wp:anchor>
        </w:drawing>
      </w: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年度财政拨款基本支出305.96万元，其中：人员经费 275.53万元，主要包括基本工资、津贴补贴、奖金、绩效工资、机关事业单位基本养老保险缴费、职业年金缴费、职工基本医疗保险缴费、住房公积金、其他社会保障缴费、其他工资福利支出、离休费、退休费、抚恤金、奖励金、其他对个人和家庭的补助支出；公用经费30.43万元，主要包括办公费、公务接待费、工会经费、公务用车运行维护费、其他交通费用、其他商品和服务支出。</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本部门2020年度“三公”经费财政拨款支出预算为26.75万元，支出决算为21.64元，完成预算的80.90%,较预算减少5.11万元，降低19.1%，主要是</w:t>
      </w:r>
      <w:r>
        <w:rPr>
          <w:rFonts w:hint="eastAsia" w:ascii="仿宋" w:hAnsi="仿宋" w:eastAsia="仿宋" w:cs="DengXian-Regular"/>
          <w:sz w:val="32"/>
          <w:szCs w:val="32"/>
        </w:rPr>
        <w:t>认真贯彻落实</w:t>
      </w:r>
      <w:bookmarkStart w:id="0" w:name="_GoBack"/>
      <w:bookmarkEnd w:id="0"/>
      <w:r>
        <w:rPr>
          <w:rFonts w:hint="eastAsia" w:ascii="仿宋" w:hAnsi="仿宋" w:eastAsia="仿宋" w:cs="DengXian-Regular"/>
          <w:sz w:val="32"/>
          <w:szCs w:val="32"/>
        </w:rPr>
        <w:t>中央八项规定精神和厉行节约要求，从严控制“三公”经费开支，全年实际支出比预算有所节约；</w:t>
      </w:r>
      <w:r>
        <w:rPr>
          <w:rFonts w:hint="eastAsia" w:ascii="仿宋_GB2312" w:hAnsi="Times New Roman" w:eastAsia="仿宋_GB2312" w:cs="Wingdings"/>
          <w:sz w:val="32"/>
          <w:szCs w:val="32"/>
        </w:rPr>
        <w:t>较2019年度减少1.32万元，降低5.75%，主要是</w:t>
      </w:r>
      <w:r>
        <w:rPr>
          <w:rFonts w:hint="eastAsia" w:ascii="仿宋" w:hAnsi="仿宋" w:eastAsia="仿宋" w:cs="DengXian-Regular"/>
          <w:sz w:val="32"/>
          <w:szCs w:val="32"/>
        </w:rPr>
        <w:t>认真贯彻落实中央八项规定精神和厉行节约要求，从严控制“三公”经费开支，全年“三公”经费支出有所节约</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_GB2312" w:hAnsi="仿宋_GB2312" w:eastAsia="仿宋_GB2312" w:cs="仿宋_GB2312"/>
          <w:sz w:val="32"/>
          <w:szCs w:val="32"/>
          <w:lang w:eastAsia="zh-CN"/>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本部门2020年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因公出国（境）费支出0万元，完成预算的0%。</w:t>
      </w:r>
      <w:r>
        <w:rPr>
          <w:rFonts w:hint="eastAsia" w:ascii="仿宋_GB2312" w:hAnsi="仿宋_GB2312" w:eastAsia="仿宋_GB2312" w:cs="仿宋_GB2312"/>
          <w:sz w:val="32"/>
          <w:szCs w:val="32"/>
          <w:lang w:eastAsia="zh-CN"/>
        </w:rPr>
        <w:t>与年初预算持平，与上年持平。</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公务用车购置及运行维护费支出15.95万元，完成预算的77.24%，</w:t>
      </w:r>
      <w:r>
        <w:rPr>
          <w:rFonts w:hint="eastAsia" w:ascii="仿宋_GB2312" w:hAnsi="Times New Roman" w:eastAsia="仿宋_GB2312" w:cs="Wingdings"/>
          <w:sz w:val="32"/>
          <w:szCs w:val="32"/>
        </w:rPr>
        <w:t>较预算减少4.7万元，降低22.76%,主要是</w:t>
      </w:r>
      <w:r>
        <w:rPr>
          <w:rFonts w:hint="eastAsia" w:ascii="仿宋" w:hAnsi="仿宋" w:eastAsia="仿宋" w:cs="DengXian-Regular"/>
          <w:sz w:val="32"/>
          <w:szCs w:val="32"/>
        </w:rPr>
        <w:t>机关严格执行公务用车制度，切实压缩公务用车费用支出，相应减少公务用车运行费用支出</w:t>
      </w:r>
      <w:r>
        <w:rPr>
          <w:rFonts w:hint="eastAsia" w:ascii="仿宋_GB2312" w:hAnsi="Times New Roman" w:eastAsia="仿宋_GB2312" w:cs="Wingdings"/>
          <w:sz w:val="32"/>
          <w:szCs w:val="32"/>
        </w:rPr>
        <w:t>；较上年减少0.96万元，降低5.68%,主要是</w:t>
      </w:r>
      <w:r>
        <w:rPr>
          <w:rFonts w:hint="eastAsia" w:ascii="仿宋" w:hAnsi="仿宋" w:eastAsia="仿宋" w:cs="DengXian-Regular"/>
          <w:sz w:val="32"/>
          <w:szCs w:val="32"/>
        </w:rPr>
        <w:t>机关严格执行公务用车制度，切实压缩公务用车费用支出，相应减少公务用车运行费用支出</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 w:hAnsi="仿宋" w:eastAsia="仿宋" w:cs="DengXian-Regular"/>
          <w:sz w:val="32"/>
          <w:szCs w:val="32"/>
        </w:rPr>
        <w:t>本部门2020年度公务用车购置量0辆，未发生“公务用车购置”经费支出，</w:t>
      </w:r>
      <w:r>
        <w:rPr>
          <w:rFonts w:hint="eastAsia" w:ascii="仿宋" w:hAnsi="仿宋" w:eastAsia="仿宋" w:cs="DengXian-Regular"/>
          <w:color w:val="000000" w:themeColor="text1"/>
          <w:sz w:val="32"/>
          <w:szCs w:val="32"/>
          <w14:textFill>
            <w14:solidFill>
              <w14:schemeClr w14:val="tx1"/>
            </w14:solidFill>
          </w14:textFill>
        </w:rPr>
        <w:t>与年初预算持平，与2019年度决算支出持平。</w:t>
      </w:r>
    </w:p>
    <w:p>
      <w:pPr>
        <w:adjustRightInd w:val="0"/>
        <w:snapToGrid w:val="0"/>
        <w:spacing w:line="600" w:lineRule="exact"/>
        <w:ind w:firstLine="643" w:firstLineChars="200"/>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本部门2020年度单位公务用车保有量4辆,</w:t>
      </w:r>
      <w:r>
        <w:rPr>
          <w:rFonts w:hint="eastAsia" w:ascii="仿宋_GB2312" w:hAnsi="Times New Roman" w:eastAsia="仿宋_GB2312" w:cs="Wingdings"/>
          <w:color w:val="000000" w:themeColor="text1"/>
          <w:sz w:val="32"/>
          <w:szCs w:val="32"/>
          <w14:textFill>
            <w14:solidFill>
              <w14:schemeClr w14:val="tx1"/>
            </w14:solidFill>
          </w14:textFill>
        </w:rPr>
        <w:t>发生运行维护费支出15.95万元。公车运行维护费支出减少4.7万元，降低22.76%,主要是</w:t>
      </w:r>
      <w:r>
        <w:rPr>
          <w:rFonts w:hint="eastAsia" w:ascii="仿宋" w:hAnsi="仿宋" w:eastAsia="仿宋" w:cs="DengXian-Regular"/>
          <w:color w:val="000000" w:themeColor="text1"/>
          <w:sz w:val="32"/>
          <w:szCs w:val="32"/>
          <w14:textFill>
            <w14:solidFill>
              <w14:schemeClr w14:val="tx1"/>
            </w14:solidFill>
          </w14:textFill>
        </w:rPr>
        <w:t>机关严格执行公务用车制度，切实压缩公务用车费用支出，相应减少公务用车运行费用支出</w:t>
      </w:r>
      <w:r>
        <w:rPr>
          <w:rFonts w:hint="eastAsia" w:ascii="仿宋_GB2312" w:hAnsi="Times New Roman" w:eastAsia="仿宋_GB2312" w:cs="Wingdings"/>
          <w:color w:val="000000" w:themeColor="text1"/>
          <w:sz w:val="32"/>
          <w:szCs w:val="32"/>
          <w14:textFill>
            <w14:solidFill>
              <w14:schemeClr w14:val="tx1"/>
            </w14:solidFill>
          </w14:textFill>
        </w:rPr>
        <w:t>；较上年减少0.96万元，降低5.68%,主要是</w:t>
      </w:r>
      <w:r>
        <w:rPr>
          <w:rFonts w:hint="eastAsia" w:ascii="仿宋" w:hAnsi="仿宋" w:eastAsia="仿宋" w:cs="DengXian-Regular"/>
          <w:color w:val="000000" w:themeColor="text1"/>
          <w:sz w:val="32"/>
          <w:szCs w:val="32"/>
          <w14:textFill>
            <w14:solidFill>
              <w14:schemeClr w14:val="tx1"/>
            </w14:solidFill>
          </w14:textFill>
        </w:rPr>
        <w:t>机关严格执行公务用车制度，切实压缩公务用车费用支出，相应减少公务用车运行费用支出</w:t>
      </w:r>
      <w:r>
        <w:rPr>
          <w:rFonts w:hint="eastAsia" w:ascii="仿宋_GB2312" w:hAnsi="Times New Roman" w:eastAsia="仿宋_GB2312" w:cs="Wingdings"/>
          <w:color w:val="000000" w:themeColor="text1"/>
          <w:sz w:val="32"/>
          <w:szCs w:val="32"/>
          <w14:textFill>
            <w14:solidFill>
              <w14:schemeClr w14:val="tx1"/>
            </w14:solidFill>
          </w14:textFill>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本部门2020年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公务接待费支出5.69万元，完成预算的93.28%。发生</w:t>
      </w:r>
      <w:r>
        <w:rPr>
          <w:rFonts w:hint="eastAsia" w:ascii="仿宋_GB2312" w:hAnsi="Times New Roman" w:eastAsia="仿宋_GB2312" w:cs="Wingdings"/>
          <w:sz w:val="32"/>
          <w:szCs w:val="32"/>
        </w:rPr>
        <w:t>公务接待共32批次、560人次。公务接待费支出较预算减少0.41万元，降低6.72%,主要是</w:t>
      </w:r>
      <w:r>
        <w:rPr>
          <w:rFonts w:ascii="仿宋" w:hAnsi="仿宋" w:eastAsia="仿宋" w:cs="DengXian-Regular"/>
          <w:sz w:val="32"/>
          <w:szCs w:val="32"/>
        </w:rPr>
        <w:t>认真落实中央八项规定精神和厉行节约要求</w:t>
      </w:r>
      <w:r>
        <w:rPr>
          <w:rFonts w:hint="eastAsia" w:ascii="仿宋" w:hAnsi="仿宋" w:eastAsia="仿宋" w:cs="DengXian-Regular"/>
          <w:sz w:val="32"/>
          <w:szCs w:val="32"/>
        </w:rPr>
        <w:t>，严格按机关制度控制接待人数和接待标准</w:t>
      </w:r>
      <w:r>
        <w:rPr>
          <w:rFonts w:hint="eastAsia" w:ascii="仿宋_GB2312" w:hAnsi="Times New Roman" w:eastAsia="仿宋_GB2312" w:cs="Wingdings"/>
          <w:sz w:val="32"/>
          <w:szCs w:val="32"/>
        </w:rPr>
        <w:t>；较上年度减少0.36万元，降低5.95%,主要是</w:t>
      </w:r>
      <w:r>
        <w:rPr>
          <w:rFonts w:ascii="仿宋" w:hAnsi="仿宋" w:eastAsia="仿宋" w:cs="DengXian-Regular"/>
          <w:sz w:val="32"/>
          <w:szCs w:val="32"/>
        </w:rPr>
        <w:t>认真落实中央八项规定精神和厉行节约要求</w:t>
      </w:r>
      <w:r>
        <w:rPr>
          <w:rFonts w:hint="eastAsia" w:ascii="仿宋" w:hAnsi="仿宋" w:eastAsia="仿宋" w:cs="DengXian-Regular"/>
          <w:sz w:val="32"/>
          <w:szCs w:val="32"/>
        </w:rPr>
        <w:t>，严格按机关制度控制接待人数和接待标准。</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根据预算绩效管理要求，本部门组织对2020年度项目支出全面开展绩效自评，其中，一般公共预算一级项目4个，共涉及资金,78.05万元，占一般公共预算项目支出总额的100%；无政府性基金预算。</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政协会议费”、“民主监督重点工作视察经费”“政协联谊活动经费”“政协研讨调研活动经费”一级项目开展了部门评价，涉及一般公共预算支出78.05万元，政府性基金预算支出0万元。其中，对“政协会议费”、“民主监督重点工作视察经费”“政协联谊活动经费”“政协研讨调研活动经费”等项目</w:t>
      </w:r>
      <w:r>
        <w:rPr>
          <w:rFonts w:hint="eastAsia" w:ascii="仿宋_GB2312" w:hAnsi="微软雅黑" w:eastAsia="仿宋_GB2312" w:cs="仿宋_GB2312"/>
          <w:sz w:val="32"/>
          <w:szCs w:val="32"/>
          <w:shd w:val="clear" w:color="auto" w:fill="FFFFFF"/>
        </w:rPr>
        <w:t>我们按照绩效评价规定要求成立评价小组，组织实施和分析评价，采取座谈等方式听取情况，检查基本支出、项目支出有关账目，收集整理支出相关资料，并根据绩效自评材料进行分析，形成评价结论。</w:t>
      </w:r>
      <w:r>
        <w:rPr>
          <w:rFonts w:hint="eastAsia" w:ascii="仿宋_GB2312" w:hAnsi="仿宋_GB2312" w:eastAsia="仿宋_GB2312" w:cs="仿宋_GB2312"/>
          <w:sz w:val="32"/>
          <w:szCs w:val="32"/>
        </w:rPr>
        <w:t>从评价情况来看，政协会议经费2020年初预算为25万元，全年执行数为25万元，执行率100%。年度预期目标：1、完善各项会议制度，规范会议程序。2、提高会议质量，提高政治协商水平。2020年完成年初既定目标，年初因疫情影响，为积极配合落实疫情防控措施，政协会议项目压缩会议规模，减少会议开支，圆满完成了预定的各项任务，执行情况良好。存在问题：1、绩效目标设立不够细化和量化，资金使用效益有待进一步提高。2、受益人员满意度，根据以往经验判断进行评分。总体完成率96%，评价等级为优。</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本部门在今年部门决算公开中反映“政协会议费”、“民主监督重点工作视察经费”“政协联谊活动经费”“政协研讨调研活动经费”等四个项目绩效自评结果。</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(1)政协会议费项目自评综述：根据年初设定的绩效目标，政协会议费项目绩效自评得分为96分（绩效自评表附后）。全年预算数为25万元，执行数为25万元，完成预算的100%。项目绩效目标完成情况：完成年初既定目标，年初因疫情影响，为积极配合落实疫情防控措施，政协会议项目压缩会议规模，减少会议开支，圆满完成了预定的各项任务，执行情况良好。一、发现的主要问题及原因： 1、绩效目标设立不够细化和量化，资金使用效益有待进一步提高。2、受益人员满意度，根据以往经验判断进行评分。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p>
      <w:pPr>
        <w:adjustRightInd w:val="0"/>
        <w:snapToGrid w:val="0"/>
        <w:spacing w:line="600" w:lineRule="exact"/>
        <w:ind w:firstLine="420" w:firstLineChars="200"/>
        <w:rPr>
          <w:rFonts w:ascii="仿宋_GB2312" w:hAnsi="仿宋_GB2312" w:eastAsia="仿宋_GB2312" w:cs="仿宋_GB2312"/>
          <w:b/>
          <w:bCs/>
          <w:sz w:val="32"/>
          <w:szCs w:val="32"/>
        </w:rPr>
      </w:pPr>
      <w:r>
        <w:rPr>
          <w:rFonts w:hint="eastAsia"/>
        </w:rPr>
        <w:drawing>
          <wp:anchor distT="0" distB="0" distL="114300" distR="114300" simplePos="0" relativeHeight="251670528" behindDoc="0" locked="0" layoutInCell="1" allowOverlap="1">
            <wp:simplePos x="0" y="0"/>
            <wp:positionH relativeFrom="column">
              <wp:posOffset>-57785</wp:posOffset>
            </wp:positionH>
            <wp:positionV relativeFrom="paragraph">
              <wp:posOffset>-284480</wp:posOffset>
            </wp:positionV>
            <wp:extent cx="5615940" cy="7762875"/>
            <wp:effectExtent l="0" t="0" r="381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15940" cy="7762875"/>
                    </a:xfrm>
                    <a:prstGeom prst="rect">
                      <a:avLst/>
                    </a:prstGeom>
                    <a:noFill/>
                    <a:ln>
                      <a:noFill/>
                    </a:ln>
                  </pic:spPr>
                </pic:pic>
              </a:graphicData>
            </a:graphic>
          </wp:anchor>
        </w:drawing>
      </w:r>
      <w:r>
        <w:rPr>
          <w:rFonts w:hint="eastAsia" w:ascii="仿宋_GB2312" w:hAnsi="仿宋_GB2312" w:eastAsia="仿宋_GB2312" w:cs="仿宋_GB2312"/>
          <w:sz w:val="32"/>
          <w:szCs w:val="32"/>
        </w:rPr>
        <w:t>(2)政协民主监督重点工作视察经费项目自评综述：根据年初设定的绩效目标，政协民主监督重点工作视察经费项目绩效自评得分为97分（绩效自评表附后）。全年预算数为23.5万元，执行数为23.5万元，完成预算的100%。项目绩效目标完成情况：完成年初既定目标，完成民主监督重点工作，提高民主监督的质量和成效，维护人民群众利益，执行情况良好。一、发现的主要问题：1、绩效目标设立不够细化和量化，资金使用效益有待进一步提高。2、受益人员满意度，根据以往经验判断进行评分。二、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p>
      <w:pPr>
        <w:adjustRightInd w:val="0"/>
        <w:snapToGrid w:val="0"/>
        <w:spacing w:line="600" w:lineRule="exact"/>
        <w:ind w:left="640"/>
        <w:rPr>
          <w:rFonts w:ascii="黑体" w:hAnsi="黑体" w:eastAsia="黑体" w:cs="黑体"/>
          <w:sz w:val="32"/>
          <w:szCs w:val="32"/>
        </w:rPr>
      </w:pPr>
      <w:r>
        <w:drawing>
          <wp:anchor distT="0" distB="0" distL="114300" distR="114300" simplePos="0" relativeHeight="251668480" behindDoc="0" locked="0" layoutInCell="1" allowOverlap="1">
            <wp:simplePos x="0" y="0"/>
            <wp:positionH relativeFrom="margin">
              <wp:posOffset>-91440</wp:posOffset>
            </wp:positionH>
            <wp:positionV relativeFrom="margin">
              <wp:posOffset>37465</wp:posOffset>
            </wp:positionV>
            <wp:extent cx="5615940" cy="7604125"/>
            <wp:effectExtent l="0" t="0" r="381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15940" cy="7604125"/>
                    </a:xfrm>
                    <a:prstGeom prst="rect">
                      <a:avLst/>
                    </a:prstGeom>
                    <a:noFill/>
                    <a:ln>
                      <a:noFill/>
                    </a:ln>
                  </pic:spPr>
                </pic:pic>
              </a:graphicData>
            </a:graphic>
          </wp:anchor>
        </w:drawing>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z w:val="32"/>
          <w:szCs w:val="32"/>
        </w:rPr>
        <w:t>政协联谊活动经费项目自评综述：根据年初设定的绩效目标，政协联谊活动经费项目绩效自评得分为97分（绩效自评表附后）。全年预算数为3.05万元，执行数为3.05万元，完成预算的100%。项目绩效目标完成情况：完成年初既定目标，2020年因疫情影响，为积极配合落实疫情防控措施，对内对外各种联谊活动相应减少，执行情况良好。一、发现的主要问题：1、绩效目标设立不够细化和量化，资金使用效益有待进一步提高。2、受益人员满意度，根据以往经验判断进行评分。二、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p>
      <w:pPr>
        <w:adjustRightInd w:val="0"/>
        <w:snapToGrid w:val="0"/>
        <w:spacing w:line="600" w:lineRule="exact"/>
        <w:ind w:left="640"/>
        <w:rPr>
          <w:rFonts w:ascii="黑体" w:hAnsi="黑体" w:eastAsia="黑体" w:cs="黑体"/>
          <w:sz w:val="32"/>
          <w:szCs w:val="32"/>
        </w:rPr>
      </w:pPr>
      <w:r>
        <w:rPr>
          <w:rFonts w:hint="eastAsia"/>
        </w:rPr>
        <w:drawing>
          <wp:anchor distT="0" distB="0" distL="114300" distR="114300" simplePos="0" relativeHeight="251669504" behindDoc="0" locked="0" layoutInCell="1" allowOverlap="1">
            <wp:simplePos x="0" y="0"/>
            <wp:positionH relativeFrom="column">
              <wp:posOffset>-175260</wp:posOffset>
            </wp:positionH>
            <wp:positionV relativeFrom="paragraph">
              <wp:posOffset>-160655</wp:posOffset>
            </wp:positionV>
            <wp:extent cx="5615940" cy="7366635"/>
            <wp:effectExtent l="0" t="0" r="381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615940" cy="7366635"/>
                    </a:xfrm>
                    <a:prstGeom prst="rect">
                      <a:avLst/>
                    </a:prstGeom>
                    <a:noFill/>
                    <a:ln>
                      <a:noFill/>
                    </a:ln>
                  </pic:spPr>
                </pic:pic>
              </a:graphicData>
            </a:graphic>
          </wp:anchor>
        </w:drawing>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4）政协研讨调研活动经费项目自评综述：根据年初设定的绩效目标，政协研讨调研活动经费项目绩效自评得分为97分（绩效自评表附后）。全年预算数为26.5万元，执行数为26,。5万元，完成预算的100%。项目绩效目标完成情况：完成年初既定目标，圆满完成了预定的各项任务，提升政治任务实现率，提升委员履职水平，执行情况良好。一、发现的主要问题：1、绩效目标设立不够细化和量化，资金使用效益有待进一步提高。2、受益人员满意度，根据以往经验判断进行评分。二、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p>
      <w:pPr>
        <w:adjustRightInd w:val="0"/>
        <w:snapToGrid w:val="0"/>
        <w:spacing w:line="600" w:lineRule="exact"/>
        <w:ind w:left="640"/>
        <w:rPr>
          <w:rFonts w:ascii="黑体" w:hAnsi="黑体" w:eastAsia="黑体" w:cs="黑体"/>
          <w:sz w:val="32"/>
          <w:szCs w:val="32"/>
        </w:rPr>
      </w:pPr>
    </w:p>
    <w:p>
      <w:pPr>
        <w:adjustRightInd w:val="0"/>
        <w:snapToGrid w:val="0"/>
        <w:spacing w:line="600" w:lineRule="exact"/>
        <w:ind w:left="640"/>
        <w:rPr>
          <w:rFonts w:ascii="黑体" w:hAnsi="黑体" w:eastAsia="黑体" w:cs="黑体"/>
          <w:sz w:val="32"/>
          <w:szCs w:val="32"/>
        </w:rPr>
      </w:pPr>
      <w:r>
        <w:rPr>
          <w:rFonts w:hint="eastAsia"/>
        </w:rPr>
        <w:drawing>
          <wp:anchor distT="0" distB="0" distL="114300" distR="114300" simplePos="0" relativeHeight="251671552" behindDoc="0" locked="0" layoutInCell="1" allowOverlap="1">
            <wp:simplePos x="0" y="0"/>
            <wp:positionH relativeFrom="column">
              <wp:posOffset>-52070</wp:posOffset>
            </wp:positionH>
            <wp:positionV relativeFrom="paragraph">
              <wp:posOffset>-227330</wp:posOffset>
            </wp:positionV>
            <wp:extent cx="5615940" cy="7604125"/>
            <wp:effectExtent l="0" t="0" r="381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15940" cy="7604125"/>
                    </a:xfrm>
                    <a:prstGeom prst="rect">
                      <a:avLst/>
                    </a:prstGeom>
                    <a:noFill/>
                    <a:ln>
                      <a:noFill/>
                    </a:ln>
                  </pic:spPr>
                </pic:pic>
              </a:graphicData>
            </a:graphic>
          </wp:anchor>
        </w:drawing>
      </w:r>
    </w:p>
    <w:p>
      <w:pPr>
        <w:adjustRightInd w:val="0"/>
        <w:snapToGrid w:val="0"/>
        <w:spacing w:line="600" w:lineRule="exact"/>
        <w:ind w:left="640"/>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本部门2020年度机关运行经费支出30.43万元，比2019年度减少4.54万元，降低12.98%。主要原因是</w:t>
      </w:r>
      <w:r>
        <w:rPr>
          <w:rFonts w:hint="eastAsia" w:ascii="仿宋_GB2312" w:eastAsia="仿宋_GB2312" w:cs="DengXian-Regular"/>
          <w:sz w:val="32"/>
          <w:szCs w:val="32"/>
        </w:rPr>
        <w:t>认真贯彻落实中央八项规定精神和厉行节约要求，从严控制机关运行经费开支</w:t>
      </w:r>
      <w:r>
        <w:rPr>
          <w:rFonts w:hint="eastAsia" w:ascii="仿宋_GB2312" w:hAnsi="Times New Roman" w:eastAsia="仿宋_GB2312" w:cs="DengXian-Regular"/>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pPr>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本部门2020年度政府采购支出总额0元，从采购类型来看，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元、政府采购服务支出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截至2020年12月31日，本部门共有车辆2辆，</w:t>
      </w:r>
      <w:r>
        <w:rPr>
          <w:rFonts w:hint="eastAsia" w:ascii="仿宋_GB2312" w:hAnsi="Times New Roman" w:eastAsia="仿宋_GB2312" w:cs="DengXian-Regular"/>
          <w:sz w:val="32"/>
          <w:szCs w:val="32"/>
        </w:rPr>
        <w:t>与上年持平，其中：</w:t>
      </w:r>
      <w:r>
        <w:rPr>
          <w:rFonts w:hint="eastAsia" w:ascii="仿宋_GB2312" w:hAnsi="仿宋_GB2312" w:eastAsia="仿宋_GB2312" w:cs="仿宋_GB2312"/>
          <w:sz w:val="32"/>
          <w:szCs w:val="32"/>
        </w:rPr>
        <w:t>机要通信用车1辆，应急保障用车1辆。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本部门2020年度未发生政府性基金预算、国有资金经营预算收支及结转结余情况，故政府性基金预算、国有资金经营预算等表以空表列示。</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3、三公经费中公车保有量与国有资产中公车保有量数量不符，主要原因是根据昌黎县公务用车制度改革领导小组办公室2016年5月16日车辆调剂的函，县公安局交通管理大队2辆车调剂到我单位，无法过户。</w:t>
      </w:r>
    </w:p>
    <w:p>
      <w:pPr>
        <w:rPr>
          <w:rFonts w:ascii="仿宋_GB2312" w:hAnsi="宋体" w:eastAsia="仿宋_GB2312" w:cs="Arial Black"/>
          <w:sz w:val="32"/>
          <w:szCs w:val="32"/>
        </w:rPr>
      </w:pPr>
      <w:r>
        <w:rPr>
          <w:rFonts w:ascii="仿宋_GB2312" w:hAnsi="宋体" w:eastAsia="仿宋_GB2312" w:cs="Arial Black"/>
          <w:sz w:val="32"/>
          <w:szCs w:val="32"/>
        </w:rPr>
        <w:br w:type="page"/>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0288;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du0e2AAAAAsBAAAPAAAAAAAAAAEAIAAAACIAAABkcnMvZG93bnJldi54&#10;bWxQSwECFAAUAAAACACHTuJA+DKZGGwCAAD+BAAADgAAAAAAAAABACAAAAAnAQAAZHJzL2Uyb0Rv&#10;Yy54bWxQSwUGAAAAAAYABgBZAQAABQYAAAAA&#10;">
                <v:fill type="pattern" on="t" color2="#FFFFFF [3212]" focussize="0,0" r:id="rId11"/>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8"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NhBuPcAAAA&#10;DQEAAA8AAAAAAAAAAQAgAAAAIgAAAGRycy9kb3ducmV2LnhtbFBLAQIUABQAAAAIAIdO4kDLXY5P&#10;iwIAAFsFAAAOAAAAAAAAAAEAIAAAACsBAABkcnMvZTJvRG9jLnhtbFBLBQYAAAAABgAGAFkBAAAo&#10;BgAAAAA=&#10;">
                <v:fill type="pattern" on="t" color2="#FFFFFF" focussize="0,0" r:id="rId11"/>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p>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drawing>
          <wp:anchor distT="0" distB="0" distL="114300" distR="114300" simplePos="0" relativeHeight="251672576" behindDoc="0" locked="0" layoutInCell="1" allowOverlap="1">
            <wp:simplePos x="0" y="0"/>
            <wp:positionH relativeFrom="column">
              <wp:posOffset>-314960</wp:posOffset>
            </wp:positionH>
            <wp:positionV relativeFrom="paragraph">
              <wp:posOffset>315595</wp:posOffset>
            </wp:positionV>
            <wp:extent cx="6496050" cy="6210300"/>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496050" cy="6210300"/>
                    </a:xfrm>
                    <a:prstGeom prst="rect">
                      <a:avLst/>
                    </a:prstGeom>
                    <a:noFill/>
                    <a:ln>
                      <a:noFill/>
                    </a:ln>
                  </pic:spPr>
                </pic:pic>
              </a:graphicData>
            </a:graphic>
          </wp:anchor>
        </w:drawing>
      </w:r>
    </w:p>
    <w:p>
      <w:pPr>
        <w:jc w:val="left"/>
      </w:pPr>
    </w:p>
    <w:p>
      <w:r>
        <w:drawing>
          <wp:inline distT="0" distB="0" distL="0" distR="0">
            <wp:extent cx="5619750" cy="4943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15940" cy="4940124"/>
                    </a:xfrm>
                    <a:prstGeom prst="rect">
                      <a:avLst/>
                    </a:prstGeom>
                    <a:noFill/>
                    <a:ln>
                      <a:noFill/>
                    </a:ln>
                  </pic:spPr>
                </pic:pic>
              </a:graphicData>
            </a:graphic>
          </wp:inline>
        </w:drawing>
      </w:r>
      <w:r>
        <w:br w:type="page"/>
      </w:r>
    </w:p>
    <w:p>
      <w:r>
        <w:drawing>
          <wp:inline distT="0" distB="0" distL="0" distR="0">
            <wp:extent cx="5800725" cy="40767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02010" cy="4077603"/>
                    </a:xfrm>
                    <a:prstGeom prst="rect">
                      <a:avLst/>
                    </a:prstGeom>
                    <a:noFill/>
                    <a:ln>
                      <a:noFill/>
                    </a:ln>
                  </pic:spPr>
                </pic:pic>
              </a:graphicData>
            </a:graphic>
          </wp:inline>
        </w:drawing>
      </w:r>
      <w:r>
        <w:br w:type="page"/>
      </w:r>
    </w:p>
    <w:p>
      <w:r>
        <w:drawing>
          <wp:inline distT="0" distB="0" distL="0" distR="0">
            <wp:extent cx="5615940" cy="521970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15940" cy="5219329"/>
                    </a:xfrm>
                    <a:prstGeom prst="rect">
                      <a:avLst/>
                    </a:prstGeom>
                    <a:noFill/>
                    <a:ln>
                      <a:noFill/>
                    </a:ln>
                  </pic:spPr>
                </pic:pic>
              </a:graphicData>
            </a:graphic>
          </wp:inline>
        </w:drawing>
      </w:r>
      <w:r>
        <w:br w:type="page"/>
      </w:r>
    </w:p>
    <w:p>
      <w:pPr>
        <w:widowControl/>
        <w:jc w:val="center"/>
        <w:textAlignment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p>
      <w:pPr>
        <w:widowControl/>
        <w:jc w:val="center"/>
        <w:textAlignment w:val="center"/>
        <w:sectPr>
          <w:pgSz w:w="11906" w:h="16838"/>
          <w:pgMar w:top="2098" w:right="1531" w:bottom="1984" w:left="1531" w:header="851" w:footer="992" w:gutter="0"/>
          <w:cols w:space="425" w:num="1"/>
          <w:docGrid w:type="lines" w:linePitch="312" w:charSpace="0"/>
        </w:sectPr>
      </w:pPr>
      <w:r>
        <w:drawing>
          <wp:inline distT="0" distB="0" distL="0" distR="0">
            <wp:extent cx="5838825" cy="4752975"/>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838825" cy="4752975"/>
                    </a:xfrm>
                    <a:prstGeom prst="rect">
                      <a:avLst/>
                    </a:prstGeom>
                    <a:noFill/>
                    <a:ln>
                      <a:noFill/>
                    </a:ln>
                  </pic:spPr>
                </pic:pic>
              </a:graphicData>
            </a:graphic>
          </wp:inline>
        </w:drawing>
      </w:r>
    </w:p>
    <w:p>
      <w:pPr>
        <w:rPr>
          <w:rFonts w:ascii="宋体" w:hAnsi="宋体" w:eastAsia="宋体" w:cs="宋体"/>
          <w:sz w:val="20"/>
          <w:szCs w:val="22"/>
        </w:rPr>
      </w:pPr>
      <w:r>
        <w:rPr>
          <w:rFonts w:hint="eastAsia"/>
        </w:rPr>
        <w:drawing>
          <wp:inline distT="0" distB="0" distL="0" distR="0">
            <wp:extent cx="5610225" cy="46196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5940" cy="4624331"/>
                    </a:xfrm>
                    <a:prstGeom prst="rect">
                      <a:avLst/>
                    </a:prstGeom>
                    <a:noFill/>
                    <a:ln>
                      <a:noFill/>
                    </a:ln>
                  </pic:spPr>
                </pic:pic>
              </a:graphicData>
            </a:graphic>
          </wp:inline>
        </w:drawing>
      </w: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r>
        <w:rPr>
          <w:rFonts w:hint="eastAsia"/>
        </w:rPr>
        <w:drawing>
          <wp:inline distT="0" distB="0" distL="0" distR="0">
            <wp:extent cx="5619750" cy="1752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615940" cy="1751412"/>
                    </a:xfrm>
                    <a:prstGeom prst="rect">
                      <a:avLst/>
                    </a:prstGeom>
                    <a:noFill/>
                    <a:ln>
                      <a:noFill/>
                    </a:ln>
                  </pic:spPr>
                </pic:pic>
              </a:graphicData>
            </a:graphic>
          </wp:inline>
        </w:drawing>
      </w: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pPr>
        <w:rPr>
          <w:rFonts w:ascii="宋体" w:hAnsi="宋体" w:eastAsia="宋体" w:cs="宋体"/>
          <w:sz w:val="20"/>
          <w:szCs w:val="22"/>
        </w:rPr>
      </w:pPr>
    </w:p>
    <w:p>
      <w:r>
        <w:tab/>
      </w:r>
      <w:r>
        <w:tab/>
      </w:r>
      <w:r>
        <w:tab/>
      </w:r>
      <w:r>
        <w:tab/>
      </w:r>
      <w:r>
        <w:tab/>
      </w:r>
      <w:r>
        <w:tab/>
      </w:r>
      <w:r>
        <w:tab/>
      </w:r>
      <w:r>
        <w:tab/>
      </w:r>
      <w:r>
        <w:tab/>
      </w:r>
      <w:r>
        <w:br w:type="page"/>
      </w:r>
    </w:p>
    <w:p>
      <w:pPr>
        <w:rPr>
          <w:rFonts w:ascii="黑体" w:hAnsi="黑体" w:eastAsia="黑体" w:cs="黑体"/>
          <w:sz w:val="56"/>
          <w:szCs w:val="72"/>
          <w:highlight w:val="yellow"/>
        </w:rPr>
      </w:pPr>
      <w:r>
        <w:rPr>
          <w:rFonts w:hint="eastAsia"/>
        </w:rPr>
        <w:drawing>
          <wp:inline distT="0" distB="0" distL="0" distR="0">
            <wp:extent cx="5619750" cy="27908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615940" cy="2788933"/>
                    </a:xfrm>
                    <a:prstGeom prst="rect">
                      <a:avLst/>
                    </a:prstGeom>
                    <a:noFill/>
                    <a:ln>
                      <a:noFill/>
                    </a:ln>
                  </pic:spPr>
                </pic:pic>
              </a:graphicData>
            </a:graphic>
          </wp:inline>
        </w:drawing>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420" w:firstLineChars="200"/>
        <w:jc w:val="left"/>
        <w:rPr>
          <w:rFonts w:ascii="仿宋_GB2312" w:hAnsi="Cambria" w:eastAsia="仿宋_GB2312" w:cs="Arial Black"/>
          <w:kern w:val="0"/>
          <w:sz w:val="32"/>
          <w:szCs w:val="32"/>
        </w:rPr>
      </w:pPr>
      <w:r>
        <w:drawing>
          <wp:anchor distT="0" distB="0" distL="114300" distR="114300" simplePos="0" relativeHeight="251673600" behindDoc="0" locked="0" layoutInCell="1" allowOverlap="1">
            <wp:simplePos x="0" y="0"/>
            <wp:positionH relativeFrom="column">
              <wp:posOffset>-238760</wp:posOffset>
            </wp:positionH>
            <wp:positionV relativeFrom="paragraph">
              <wp:posOffset>578485</wp:posOffset>
            </wp:positionV>
            <wp:extent cx="5619750" cy="3162300"/>
            <wp:effectExtent l="0" t="0" r="0" b="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619750" cy="3162300"/>
                    </a:xfrm>
                    <a:prstGeom prst="rect">
                      <a:avLst/>
                    </a:prstGeom>
                    <a:noFill/>
                    <a:ln>
                      <a:noFill/>
                    </a:ln>
                  </pic:spPr>
                </pic:pic>
              </a:graphicData>
            </a:graphic>
          </wp:anchor>
        </w:drawing>
      </w:r>
    </w:p>
    <w:p>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438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pHv59wAAAAPAQAADwAAAAAAAAABACAAAAAiAAAA&#10;ZHJzL2Rvd25yZXYueG1sUEsBAhQAFAAAAAgAh07iQNMsnA11AgAAwwQAAA4AAAAAAAAAAQAgAAAA&#10;KwEAAGRycy9lMm9Eb2MueG1sUEsFBgAAAAAGAAYAWQEAABIGA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WZjNWEwMDA1YjdlNmYzYWMwYmZlZGQ0OWI0YWIifQ=="/>
  </w:docVars>
  <w:rsids>
    <w:rsidRoot w:val="34C45458"/>
    <w:rsid w:val="00061A05"/>
    <w:rsid w:val="00061B93"/>
    <w:rsid w:val="000D2BFD"/>
    <w:rsid w:val="00105A0C"/>
    <w:rsid w:val="00147453"/>
    <w:rsid w:val="00163FC1"/>
    <w:rsid w:val="0018668E"/>
    <w:rsid w:val="001B73D2"/>
    <w:rsid w:val="001E62BF"/>
    <w:rsid w:val="00290423"/>
    <w:rsid w:val="00293E7B"/>
    <w:rsid w:val="002D1852"/>
    <w:rsid w:val="002D1F4F"/>
    <w:rsid w:val="002D2D2B"/>
    <w:rsid w:val="00303CE0"/>
    <w:rsid w:val="00310EBF"/>
    <w:rsid w:val="00366D90"/>
    <w:rsid w:val="003A38CB"/>
    <w:rsid w:val="003A52C7"/>
    <w:rsid w:val="003C5D1D"/>
    <w:rsid w:val="003D2226"/>
    <w:rsid w:val="003D678E"/>
    <w:rsid w:val="003E5E5E"/>
    <w:rsid w:val="00461FAF"/>
    <w:rsid w:val="004B2FDC"/>
    <w:rsid w:val="004C1F1F"/>
    <w:rsid w:val="004C3230"/>
    <w:rsid w:val="004D1EA2"/>
    <w:rsid w:val="005E0E86"/>
    <w:rsid w:val="006C01AE"/>
    <w:rsid w:val="007620A2"/>
    <w:rsid w:val="00791C72"/>
    <w:rsid w:val="007920FC"/>
    <w:rsid w:val="007B4876"/>
    <w:rsid w:val="00801F66"/>
    <w:rsid w:val="00812C39"/>
    <w:rsid w:val="008D334A"/>
    <w:rsid w:val="00925A87"/>
    <w:rsid w:val="009334BF"/>
    <w:rsid w:val="00942352"/>
    <w:rsid w:val="009734A4"/>
    <w:rsid w:val="00975B45"/>
    <w:rsid w:val="009D1193"/>
    <w:rsid w:val="009D3C0F"/>
    <w:rsid w:val="009E38C8"/>
    <w:rsid w:val="009E59F7"/>
    <w:rsid w:val="009F37C9"/>
    <w:rsid w:val="009F7AE3"/>
    <w:rsid w:val="00A046AE"/>
    <w:rsid w:val="00A61E3E"/>
    <w:rsid w:val="00A9150F"/>
    <w:rsid w:val="00B0223F"/>
    <w:rsid w:val="00BA1219"/>
    <w:rsid w:val="00BE2400"/>
    <w:rsid w:val="00D03329"/>
    <w:rsid w:val="00D248BA"/>
    <w:rsid w:val="00DC054A"/>
    <w:rsid w:val="00E54963"/>
    <w:rsid w:val="00F24C75"/>
    <w:rsid w:val="00F921A9"/>
    <w:rsid w:val="00FC31BE"/>
    <w:rsid w:val="00FD5E00"/>
    <w:rsid w:val="0C280303"/>
    <w:rsid w:val="0EA325C9"/>
    <w:rsid w:val="0EE17C1A"/>
    <w:rsid w:val="0FA9361E"/>
    <w:rsid w:val="0FFF09A3"/>
    <w:rsid w:val="181800A9"/>
    <w:rsid w:val="22E46C89"/>
    <w:rsid w:val="246B5A3C"/>
    <w:rsid w:val="27182209"/>
    <w:rsid w:val="34C45458"/>
    <w:rsid w:val="35C83C42"/>
    <w:rsid w:val="37445DC3"/>
    <w:rsid w:val="5F845C34"/>
    <w:rsid w:val="60154311"/>
    <w:rsid w:val="695B26FD"/>
    <w:rsid w:val="6AF77BA8"/>
    <w:rsid w:val="73D824BD"/>
    <w:rsid w:val="754A042B"/>
    <w:rsid w:val="764B3663"/>
    <w:rsid w:val="7B38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8.emf"/><Relationship Id="rId27" Type="http://schemas.openxmlformats.org/officeDocument/2006/relationships/image" Target="media/image17.emf"/><Relationship Id="rId26" Type="http://schemas.openxmlformats.org/officeDocument/2006/relationships/image" Target="media/image16.emf"/><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image" Target="media/image13.emf"/><Relationship Id="rId22" Type="http://schemas.openxmlformats.org/officeDocument/2006/relationships/image" Target="media/image12.emf"/><Relationship Id="rId21" Type="http://schemas.openxmlformats.org/officeDocument/2006/relationships/image" Target="media/image11.emf"/><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chart" Target="charts/chart1.xml"/><Relationship Id="rId11" Type="http://schemas.openxmlformats.org/officeDocument/2006/relationships/image" Target="media/image2.bmp"/><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r>
              <a:rPr lang="en-US" altLang="zh-CN">
                <a:latin typeface="楷体_GB2312" pitchFamily="3" charset="-122"/>
                <a:ea typeface="楷体_GB2312" pitchFamily="3" charset="-122"/>
                <a:cs typeface="楷体_GB2312" pitchFamily="3" charset="-122"/>
                <a:sym typeface="楷体_GB2312" pitchFamily="3" charset="-122"/>
              </a:rPr>
              <a:t>2019-2020</a:t>
            </a:r>
            <a:r>
              <a:rPr lang="zh-CN" altLang="en-US">
                <a:latin typeface="楷体_GB2312" pitchFamily="3" charset="-122"/>
                <a:ea typeface="楷体_GB2312" pitchFamily="3" charset="-122"/>
                <a:cs typeface="楷体_GB2312" pitchFamily="3" charset="-122"/>
                <a:sym typeface="楷体_GB2312" pitchFamily="3" charset="-122"/>
              </a:rPr>
              <a:t>年收支总计对比情况（图</a:t>
            </a:r>
            <a:r>
              <a:rPr lang="en-US" altLang="zh-CN">
                <a:latin typeface="楷体_GB2312" pitchFamily="3" charset="-122"/>
                <a:ea typeface="楷体_GB2312" pitchFamily="3" charset="-122"/>
                <a:cs typeface="楷体_GB2312" pitchFamily="3" charset="-122"/>
                <a:sym typeface="楷体_GB2312" pitchFamily="3" charset="-122"/>
              </a:rPr>
              <a:t>1</a:t>
            </a:r>
            <a:r>
              <a:rPr lang="zh-CN" altLang="en-US">
                <a:latin typeface="楷体_GB2312" pitchFamily="3" charset="-122"/>
                <a:ea typeface="楷体_GB2312" pitchFamily="3" charset="-122"/>
                <a:cs typeface="楷体_GB2312" pitchFamily="3" charset="-122"/>
                <a:sym typeface="楷体_GB2312" pitchFamily="3" charset="-122"/>
              </a:rPr>
              <a:t>）</a:t>
            </a:r>
            <a:endParaRPr lang="zh-CN" altLang="en-US">
              <a:latin typeface="楷体_GB2312" pitchFamily="3" charset="-122"/>
              <a:ea typeface="楷体_GB2312" pitchFamily="3" charset="-122"/>
              <a:cs typeface="楷体_GB2312" pitchFamily="3" charset="-122"/>
              <a:sym typeface="楷体_GB2312"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Lbl>
              <c:idx val="0"/>
              <c:layout>
                <c:manualLayout>
                  <c:x val="0.0030511060259344"/>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r>
                      <a:rPr lang="en-US" altLang="en-US"/>
                      <a:t>414</a:t>
                    </a:r>
                    <a:r>
                      <a:rPr lang="en-US" altLang="zh-CN"/>
                      <a:t>.84</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r>
                      <a:rPr lang="en-US" altLang="en-US"/>
                      <a:t>384</a:t>
                    </a:r>
                    <a:r>
                      <a:rPr lang="en-US" altLang="zh-CN"/>
                      <a:t>.02</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414.84</c:v>
                </c:pt>
                <c:pt idx="1">
                  <c:v>384.02</c:v>
                </c:pt>
              </c:numCache>
            </c:numRef>
          </c:val>
        </c:ser>
        <c:dLbls>
          <c:showLegendKey val="0"/>
          <c:showVal val="1"/>
          <c:showCatName val="0"/>
          <c:showSerName val="0"/>
          <c:showPercent val="0"/>
          <c:showBubbleSize val="0"/>
        </c:dLbls>
        <c:gapWidth val="219"/>
        <c:overlap val="-27"/>
        <c:axId val="72899968"/>
        <c:axId val="216242432"/>
      </c:barChart>
      <c:catAx>
        <c:axId val="728999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216242432"/>
        <c:crosses val="autoZero"/>
        <c:auto val="1"/>
        <c:lblAlgn val="ctr"/>
        <c:lblOffset val="100"/>
        <c:noMultiLvlLbl val="0"/>
      </c:catAx>
      <c:valAx>
        <c:axId val="216242432"/>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7289996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itchFamily="3" charset="-122"/>
          <a:ea typeface="楷体_GB2312" pitchFamily="3" charset="-122"/>
          <a:cs typeface="楷体_GB2312" pitchFamily="3" charset="-122"/>
          <a:sym typeface="楷体_GB2312" pitchFamily="3"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38</Pages>
  <Words>6853</Words>
  <Characters>7285</Characters>
  <Lines>53</Lines>
  <Paragraphs>15</Paragraphs>
  <TotalTime>1</TotalTime>
  <ScaleCrop>false</ScaleCrop>
  <LinksUpToDate>false</LinksUpToDate>
  <CharactersWithSpaces>7328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2021-11-19T03:07:00Z</dcterms:created>
  <dc:creator>王明新TIAD</dc:creator>
  <cp:lastModifiedBy>lenovo</cp:lastModifiedBy>
  <dcterms:modified xsi:type="dcterms:W3CDTF">2024-05-30T02:56:36Z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65FA352BAB5146309CB066C800874C19</vt:lpwstr>
  </property>
</Properties>
</file>