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spacing w:before="300" w:line="238" w:lineRule="auto"/>
        <w:ind w:left="1245"/>
        <w:rPr>
          <w:rFonts w:ascii="微软雅黑" w:hAnsi="微软雅黑" w:eastAsia="微软雅黑" w:cs="微软雅黑"/>
          <w:sz w:val="70"/>
          <w:szCs w:val="70"/>
        </w:rPr>
      </w:pPr>
      <w:r>
        <w:rPr>
          <w:rFonts w:ascii="微软雅黑" w:hAnsi="微软雅黑" w:eastAsia="微软雅黑" w:cs="微软雅黑"/>
          <w:color w:val="002060"/>
          <w:position w:val="-5"/>
          <w:sz w:val="70"/>
          <w:szCs w:val="70"/>
        </w:rPr>
        <w:drawing>
          <wp:inline distT="0" distB="0" distL="0" distR="0">
            <wp:extent cx="608965" cy="6096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2060"/>
          <w:spacing w:val="128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2</w:t>
      </w:r>
      <w:r>
        <w:rPr>
          <w:rFonts w:ascii="微软雅黑" w:hAnsi="微软雅黑" w:eastAsia="微软雅黑" w:cs="微软雅黑"/>
          <w:b/>
          <w:bCs/>
          <w:color w:val="002060"/>
          <w:spacing w:val="-65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0</w:t>
      </w:r>
      <w:r>
        <w:rPr>
          <w:rFonts w:ascii="微软雅黑" w:hAnsi="微软雅黑" w:eastAsia="微软雅黑" w:cs="微软雅黑"/>
          <w:b/>
          <w:bCs/>
          <w:color w:val="002060"/>
          <w:spacing w:val="-39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2 1</w:t>
      </w:r>
      <w:r>
        <w:rPr>
          <w:rFonts w:ascii="微软雅黑" w:hAnsi="微软雅黑" w:eastAsia="微软雅黑" w:cs="微软雅黑"/>
          <w:b/>
          <w:bCs/>
          <w:color w:val="002060"/>
          <w:spacing w:val="126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年</w:t>
      </w:r>
      <w:r>
        <w:rPr>
          <w:rFonts w:ascii="微软雅黑" w:hAnsi="微软雅黑" w:eastAsia="微软雅黑" w:cs="微软雅黑"/>
          <w:b/>
          <w:bCs/>
          <w:color w:val="002060"/>
          <w:spacing w:val="-60"/>
          <w:sz w:val="70"/>
          <w:szCs w:val="7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2060"/>
          <w:spacing w:val="-20"/>
          <w:sz w:val="70"/>
          <w:szCs w:val="70"/>
        </w:rPr>
        <w:t>度</w:t>
      </w:r>
    </w:p>
    <w:p>
      <w:pPr>
        <w:spacing w:before="412" w:line="996" w:lineRule="exact"/>
        <w:ind w:left="1250"/>
        <w:outlineLvl w:val="0"/>
        <w:rPr>
          <w:rFonts w:ascii="微软雅黑" w:hAnsi="微软雅黑" w:eastAsia="微软雅黑" w:cs="微软雅黑"/>
          <w:sz w:val="99"/>
          <w:szCs w:val="99"/>
        </w:rPr>
      </w:pPr>
      <w:r>
        <w:rPr>
          <w:rFonts w:ascii="微软雅黑" w:hAnsi="微软雅黑" w:eastAsia="微软雅黑" w:cs="微软雅黑"/>
          <w:color w:val="6E7B9C"/>
          <w:spacing w:val="84"/>
          <w:position w:val="-5"/>
          <w:sz w:val="99"/>
          <w:szCs w:val="99"/>
        </w:rPr>
        <w:t>部门决算公开文本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line="5498" w:lineRule="exact"/>
      </w:pPr>
      <w:r>
        <w:rPr>
          <w:position w:val="-109"/>
        </w:rPr>
        <w:drawing>
          <wp:inline distT="0" distB="0" distL="0" distR="0">
            <wp:extent cx="7559040" cy="349059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4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spacing w:before="131" w:line="222" w:lineRule="auto"/>
        <w:ind w:left="2177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-5"/>
          <w:sz w:val="40"/>
          <w:szCs w:val="40"/>
        </w:rPr>
        <w:t>预算代码：820</w:t>
      </w:r>
    </w:p>
    <w:p>
      <w:pPr>
        <w:spacing w:before="296" w:line="222" w:lineRule="auto"/>
        <w:ind w:left="2182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spacing w:val="-4"/>
          <w:sz w:val="40"/>
          <w:szCs w:val="40"/>
        </w:rPr>
        <w:t>部门名称：昌黎县马坨店乡人民政府</w:t>
      </w: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30" w:line="226" w:lineRule="auto"/>
        <w:ind w:left="449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0"/>
          <w:sz w:val="40"/>
          <w:szCs w:val="40"/>
        </w:rPr>
        <w:t>二</w:t>
      </w:r>
      <w:r>
        <w:rPr>
          <w:rFonts w:ascii="楷体" w:hAnsi="楷体" w:eastAsia="楷体" w:cs="楷体"/>
          <w:spacing w:val="-77"/>
          <w:sz w:val="40"/>
          <w:szCs w:val="40"/>
        </w:rPr>
        <w:t xml:space="preserve"> </w:t>
      </w:r>
      <w:r>
        <w:rPr>
          <w:rFonts w:ascii="楷体" w:hAnsi="楷体" w:eastAsia="楷体" w:cs="楷体"/>
          <w:spacing w:val="-10"/>
          <w:sz w:val="40"/>
          <w:szCs w:val="40"/>
        </w:rPr>
        <w:t>O</w:t>
      </w:r>
      <w:r>
        <w:rPr>
          <w:rFonts w:ascii="楷体" w:hAnsi="楷体" w:eastAsia="楷体" w:cs="楷体"/>
          <w:spacing w:val="-72"/>
          <w:sz w:val="40"/>
          <w:szCs w:val="40"/>
        </w:rPr>
        <w:t xml:space="preserve"> </w:t>
      </w:r>
      <w:r>
        <w:rPr>
          <w:rFonts w:ascii="楷体" w:hAnsi="楷体" w:eastAsia="楷体" w:cs="楷体"/>
          <w:spacing w:val="-10"/>
          <w:sz w:val="40"/>
          <w:szCs w:val="40"/>
        </w:rPr>
        <w:t>二二年九月</w:t>
      </w:r>
    </w:p>
    <w:p>
      <w:pPr>
        <w:spacing w:line="226" w:lineRule="auto"/>
        <w:rPr>
          <w:rFonts w:ascii="楷体" w:hAnsi="楷体" w:eastAsia="楷体" w:cs="楷体"/>
          <w:sz w:val="40"/>
          <w:szCs w:val="40"/>
        </w:rPr>
        <w:sectPr>
          <w:headerReference r:id="rId5" w:type="default"/>
          <w:pgSz w:w="11906" w:h="16840"/>
          <w:pgMar w:top="400" w:right="0" w:bottom="0" w:left="0" w:header="0" w:footer="0" w:gutter="0"/>
          <w:cols w:space="720" w:num="1"/>
        </w:sect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20320</wp:posOffset>
            </wp:positionV>
            <wp:extent cx="527050" cy="64008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7" w:line="226" w:lineRule="auto"/>
        <w:ind w:left="3427"/>
        <w:rPr>
          <w:rFonts w:ascii="黑体" w:hAnsi="黑体" w:eastAsia="黑体" w:cs="黑体"/>
          <w:sz w:val="42"/>
          <w:szCs w:val="42"/>
        </w:rPr>
      </w:pPr>
      <w:r>
        <w:rPr>
          <w:rFonts w:ascii="黑体" w:hAnsi="黑体" w:eastAsia="黑体" w:cs="黑体"/>
          <w:spacing w:val="-31"/>
          <w:sz w:val="42"/>
          <w:szCs w:val="42"/>
        </w:rPr>
        <w:t>目</w:t>
      </w:r>
      <w:r>
        <w:rPr>
          <w:rFonts w:ascii="黑体" w:hAnsi="黑体" w:eastAsia="黑体" w:cs="黑体"/>
          <w:spacing w:val="12"/>
          <w:sz w:val="42"/>
          <w:szCs w:val="42"/>
        </w:rPr>
        <w:t xml:space="preserve">    </w:t>
      </w:r>
      <w:r>
        <w:rPr>
          <w:rFonts w:ascii="黑体" w:hAnsi="黑体" w:eastAsia="黑体" w:cs="黑体"/>
          <w:spacing w:val="-31"/>
          <w:sz w:val="42"/>
          <w:szCs w:val="42"/>
        </w:rPr>
        <w:t>录</w:t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spacing w:before="97" w:line="227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9"/>
          <w:sz w:val="30"/>
          <w:szCs w:val="30"/>
        </w:rPr>
        <w:t>第一部分</w:t>
      </w:r>
      <w:r>
        <w:rPr>
          <w:rFonts w:ascii="黑体" w:hAnsi="黑体" w:eastAsia="黑体" w:cs="黑体"/>
          <w:spacing w:val="28"/>
          <w:sz w:val="30"/>
          <w:szCs w:val="30"/>
        </w:rPr>
        <w:t xml:space="preserve">   </w:t>
      </w:r>
      <w:r>
        <w:rPr>
          <w:rFonts w:ascii="黑体" w:hAnsi="黑体" w:eastAsia="黑体" w:cs="黑体"/>
          <w:spacing w:val="9"/>
          <w:sz w:val="30"/>
          <w:szCs w:val="30"/>
        </w:rPr>
        <w:t>部门概况</w:t>
      </w:r>
    </w:p>
    <w:p>
      <w:pPr>
        <w:pStyle w:val="2"/>
        <w:spacing w:line="294" w:lineRule="auto"/>
      </w:pPr>
    </w:p>
    <w:p>
      <w:pPr>
        <w:spacing w:before="98" w:line="228" w:lineRule="auto"/>
        <w:ind w:left="10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一、部门职责</w:t>
      </w:r>
    </w:p>
    <w:p>
      <w:pPr>
        <w:pStyle w:val="2"/>
        <w:spacing w:line="266" w:lineRule="auto"/>
      </w:pPr>
    </w:p>
    <w:p>
      <w:pPr>
        <w:spacing w:before="98" w:line="229" w:lineRule="auto"/>
        <w:ind w:left="107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二、机构设置</w:t>
      </w:r>
    </w:p>
    <w:p>
      <w:pPr>
        <w:pStyle w:val="2"/>
        <w:spacing w:line="268" w:lineRule="auto"/>
      </w:pPr>
    </w:p>
    <w:p>
      <w:pPr>
        <w:spacing w:before="97" w:line="228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2"/>
          <w:sz w:val="30"/>
          <w:szCs w:val="30"/>
        </w:rPr>
        <w:t xml:space="preserve">第二部分   </w:t>
      </w:r>
      <w:r>
        <w:rPr>
          <w:rFonts w:ascii="Times New Roman" w:hAnsi="Times New Roman" w:eastAsia="Times New Roman" w:cs="Times New Roman"/>
          <w:spacing w:val="12"/>
          <w:sz w:val="30"/>
          <w:szCs w:val="30"/>
        </w:rPr>
        <w:t>2021</w:t>
      </w:r>
      <w:r>
        <w:rPr>
          <w:rFonts w:ascii="Times New Roman" w:hAnsi="Times New Roman" w:eastAsia="Times New Roman" w:cs="Times New Roman"/>
          <w:spacing w:val="47"/>
          <w:w w:val="101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2"/>
          <w:sz w:val="30"/>
          <w:szCs w:val="30"/>
        </w:rPr>
        <w:t>年度部门决算报表</w:t>
      </w:r>
    </w:p>
    <w:p>
      <w:pPr>
        <w:pStyle w:val="2"/>
        <w:spacing w:line="246" w:lineRule="auto"/>
      </w:pPr>
    </w:p>
    <w:p>
      <w:pPr>
        <w:spacing w:before="97" w:line="227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3"/>
          <w:sz w:val="30"/>
          <w:szCs w:val="30"/>
        </w:rPr>
        <w:t xml:space="preserve">第三部分   </w:t>
      </w:r>
      <w:r>
        <w:rPr>
          <w:rFonts w:ascii="Times New Roman" w:hAnsi="Times New Roman" w:eastAsia="Times New Roman" w:cs="Times New Roman"/>
          <w:spacing w:val="13"/>
          <w:sz w:val="30"/>
          <w:szCs w:val="30"/>
        </w:rPr>
        <w:t>2021</w:t>
      </w:r>
      <w:r>
        <w:rPr>
          <w:rFonts w:ascii="Times New Roman" w:hAnsi="Times New Roman" w:eastAsia="Times New Roman" w:cs="Times New Roman"/>
          <w:spacing w:val="32"/>
          <w:w w:val="101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3"/>
          <w:sz w:val="30"/>
          <w:szCs w:val="30"/>
        </w:rPr>
        <w:t>年部门决算情况说明</w:t>
      </w:r>
    </w:p>
    <w:p>
      <w:pPr>
        <w:pStyle w:val="2"/>
        <w:spacing w:line="294" w:lineRule="auto"/>
      </w:pPr>
    </w:p>
    <w:p>
      <w:pPr>
        <w:spacing w:before="98" w:line="228" w:lineRule="auto"/>
        <w:ind w:left="107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一、收入支出决算总体情况说明</w:t>
      </w:r>
    </w:p>
    <w:p>
      <w:pPr>
        <w:pStyle w:val="2"/>
        <w:spacing w:line="271" w:lineRule="auto"/>
      </w:pPr>
    </w:p>
    <w:p>
      <w:pPr>
        <w:spacing w:before="99" w:line="228" w:lineRule="auto"/>
        <w:ind w:left="108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二、收入决算情况说明</w:t>
      </w:r>
    </w:p>
    <w:p>
      <w:pPr>
        <w:pStyle w:val="2"/>
        <w:spacing w:line="267" w:lineRule="auto"/>
      </w:pPr>
    </w:p>
    <w:p>
      <w:pPr>
        <w:spacing w:before="98" w:line="228" w:lineRule="auto"/>
        <w:ind w:left="108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三、支出决算情况说明</w:t>
      </w:r>
    </w:p>
    <w:p>
      <w:pPr>
        <w:pStyle w:val="2"/>
        <w:spacing w:line="269" w:lineRule="auto"/>
      </w:pPr>
    </w:p>
    <w:p>
      <w:pPr>
        <w:spacing w:before="98" w:line="228" w:lineRule="auto"/>
        <w:ind w:left="11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四、财政拨款收入支出决算总体情况说明</w:t>
      </w:r>
    </w:p>
    <w:p>
      <w:pPr>
        <w:pStyle w:val="2"/>
        <w:spacing w:line="269" w:lineRule="auto"/>
      </w:pPr>
    </w:p>
    <w:p>
      <w:pPr>
        <w:spacing w:before="98" w:line="228" w:lineRule="auto"/>
        <w:ind w:left="107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五、一般公共预算“三公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” 经费支出决算情况说明</w:t>
      </w:r>
    </w:p>
    <w:p>
      <w:pPr>
        <w:pStyle w:val="2"/>
        <w:spacing w:line="245" w:lineRule="auto"/>
      </w:pPr>
    </w:p>
    <w:p>
      <w:pPr>
        <w:spacing w:before="98" w:line="228" w:lineRule="auto"/>
        <w:ind w:left="10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六、预算绩效情况说明</w:t>
      </w:r>
    </w:p>
    <w:p>
      <w:pPr>
        <w:pStyle w:val="2"/>
        <w:spacing w:line="291" w:lineRule="auto"/>
      </w:pPr>
    </w:p>
    <w:p>
      <w:pPr>
        <w:spacing w:before="98" w:line="227" w:lineRule="auto"/>
        <w:ind w:left="107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七、机关运行经费情况</w:t>
      </w:r>
    </w:p>
    <w:p>
      <w:pPr>
        <w:pStyle w:val="2"/>
        <w:spacing w:line="275" w:lineRule="auto"/>
      </w:pPr>
    </w:p>
    <w:p>
      <w:pPr>
        <w:spacing w:before="97" w:line="229" w:lineRule="auto"/>
        <w:ind w:left="106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八、政府采购情况</w:t>
      </w:r>
    </w:p>
    <w:p>
      <w:pPr>
        <w:pStyle w:val="2"/>
        <w:spacing w:line="265" w:lineRule="auto"/>
      </w:pPr>
    </w:p>
    <w:p>
      <w:pPr>
        <w:spacing w:before="98" w:line="229" w:lineRule="auto"/>
        <w:ind w:left="108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九、 国有资产占用情况</w:t>
      </w:r>
    </w:p>
    <w:p>
      <w:pPr>
        <w:pStyle w:val="2"/>
        <w:spacing w:line="244" w:lineRule="auto"/>
      </w:pPr>
    </w:p>
    <w:p>
      <w:pPr>
        <w:spacing w:before="98" w:line="228" w:lineRule="auto"/>
        <w:ind w:left="108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十、其他需要说明的情况</w:t>
      </w:r>
    </w:p>
    <w:p>
      <w:pPr>
        <w:pStyle w:val="2"/>
        <w:spacing w:line="295" w:lineRule="auto"/>
      </w:pPr>
    </w:p>
    <w:p>
      <w:pPr>
        <w:spacing w:before="98" w:line="228" w:lineRule="auto"/>
        <w:ind w:left="41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1"/>
          <w:sz w:val="30"/>
          <w:szCs w:val="30"/>
        </w:rPr>
        <w:t>第四部分</w:t>
      </w:r>
      <w:r>
        <w:rPr>
          <w:rFonts w:ascii="黑体" w:hAnsi="黑体" w:eastAsia="黑体" w:cs="黑体"/>
          <w:spacing w:val="25"/>
          <w:sz w:val="30"/>
          <w:szCs w:val="30"/>
        </w:rPr>
        <w:t xml:space="preserve">  </w:t>
      </w:r>
      <w:r>
        <w:rPr>
          <w:rFonts w:ascii="黑体" w:hAnsi="黑体" w:eastAsia="黑体" w:cs="黑体"/>
          <w:spacing w:val="11"/>
          <w:sz w:val="30"/>
          <w:szCs w:val="30"/>
        </w:rPr>
        <w:t>名词解释</w:t>
      </w:r>
    </w:p>
    <w:p>
      <w:pPr>
        <w:spacing w:line="228" w:lineRule="auto"/>
        <w:rPr>
          <w:rFonts w:ascii="黑体" w:hAnsi="黑体" w:eastAsia="黑体" w:cs="黑体"/>
          <w:sz w:val="30"/>
          <w:szCs w:val="30"/>
        </w:rPr>
        <w:sectPr>
          <w:headerReference r:id="rId6" w:type="default"/>
          <w:footerReference r:id="rId7" w:type="default"/>
          <w:pgSz w:w="11906" w:h="16840"/>
          <w:pgMar w:top="400" w:right="1785" w:bottom="875" w:left="1785" w:header="0" w:footer="671" w:gutter="0"/>
          <w:cols w:space="720" w:num="1"/>
        </w:sectPr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97"/>
        <w:ind w:left="681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B2B2B2"/>
          <w:position w:val="-19"/>
          <w:sz w:val="46"/>
          <w:szCs w:val="46"/>
        </w:rPr>
        <w:drawing>
          <wp:inline distT="0" distB="0" distL="0" distR="0">
            <wp:extent cx="738505" cy="68834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9139" cy="6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B2B2B2"/>
          <w:spacing w:val="3"/>
          <w:sz w:val="46"/>
          <w:szCs w:val="46"/>
        </w:rPr>
        <w:t xml:space="preserve">   </w:t>
      </w:r>
      <w:r>
        <w:rPr>
          <w:rFonts w:ascii="微软雅黑" w:hAnsi="微软雅黑" w:eastAsia="微软雅黑" w:cs="微软雅黑"/>
          <w:color w:val="B2B2B2"/>
          <w:spacing w:val="4"/>
          <w:sz w:val="46"/>
          <w:szCs w:val="46"/>
        </w:rPr>
        <w:t>第一部分</w:t>
      </w:r>
      <w:r>
        <w:rPr>
          <w:rFonts w:ascii="微软雅黑" w:hAnsi="微软雅黑" w:eastAsia="微软雅黑" w:cs="微软雅黑"/>
          <w:color w:val="B2B2B2"/>
          <w:spacing w:val="57"/>
          <w:sz w:val="46"/>
          <w:szCs w:val="46"/>
        </w:rPr>
        <w:t xml:space="preserve">  </w:t>
      </w:r>
      <w:r>
        <w:rPr>
          <w:rFonts w:ascii="微软雅黑" w:hAnsi="微软雅黑" w:eastAsia="微软雅黑" w:cs="微软雅黑"/>
          <w:color w:val="A9A9A9"/>
          <w:spacing w:val="4"/>
          <w:sz w:val="46"/>
          <w:szCs w:val="46"/>
        </w:rPr>
        <w:t>部门概况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62" w:line="254" w:lineRule="exact"/>
        <w:ind w:left="3936"/>
        <w:rPr>
          <w:rFonts w:ascii="Batang" w:hAnsi="Batang" w:eastAsia="Batang" w:cs="Batang"/>
          <w:sz w:val="19"/>
          <w:szCs w:val="19"/>
        </w:rPr>
      </w:pPr>
      <w:r>
        <w:rPr>
          <w:rFonts w:ascii="Batang" w:hAnsi="Batang" w:eastAsia="Batang" w:cs="Batang"/>
          <w:spacing w:val="-7"/>
          <w:position w:val="1"/>
          <w:sz w:val="19"/>
          <w:szCs w:val="19"/>
        </w:rPr>
        <w:t>-</w:t>
      </w:r>
      <w:r>
        <w:rPr>
          <w:rFonts w:ascii="Batang" w:hAnsi="Batang" w:eastAsia="Batang" w:cs="Batang"/>
          <w:spacing w:val="27"/>
          <w:position w:val="1"/>
          <w:sz w:val="19"/>
          <w:szCs w:val="19"/>
        </w:rPr>
        <w:t xml:space="preserve"> </w:t>
      </w:r>
      <w:r>
        <w:rPr>
          <w:rFonts w:ascii="Batang" w:hAnsi="Batang" w:eastAsia="Batang" w:cs="Batang"/>
          <w:spacing w:val="-7"/>
          <w:position w:val="1"/>
          <w:sz w:val="19"/>
          <w:szCs w:val="19"/>
        </w:rPr>
        <w:t>3</w:t>
      </w:r>
      <w:r>
        <w:rPr>
          <w:rFonts w:ascii="Batang" w:hAnsi="Batang" w:eastAsia="Batang" w:cs="Batang"/>
          <w:spacing w:val="37"/>
          <w:w w:val="101"/>
          <w:position w:val="1"/>
          <w:sz w:val="19"/>
          <w:szCs w:val="19"/>
        </w:rPr>
        <w:t xml:space="preserve"> </w:t>
      </w:r>
      <w:r>
        <w:rPr>
          <w:rFonts w:ascii="Batang" w:hAnsi="Batang" w:eastAsia="Batang" w:cs="Batang"/>
          <w:spacing w:val="-7"/>
          <w:position w:val="1"/>
          <w:sz w:val="19"/>
          <w:szCs w:val="19"/>
        </w:rPr>
        <w:t>-</w:t>
      </w:r>
    </w:p>
    <w:p>
      <w:pPr>
        <w:spacing w:line="254" w:lineRule="exact"/>
        <w:rPr>
          <w:rFonts w:ascii="Batang" w:hAnsi="Batang" w:eastAsia="Batang" w:cs="Batang"/>
          <w:sz w:val="19"/>
          <w:szCs w:val="19"/>
        </w:rPr>
        <w:sectPr>
          <w:footerReference r:id="rId8" w:type="default"/>
          <w:pgSz w:w="11906" w:h="16840"/>
          <w:pgMar w:top="400" w:right="1785" w:bottom="400" w:left="1785" w:header="0" w:footer="0" w:gutter="0"/>
          <w:cols w:space="720" w:num="1"/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spacing w:before="97" w:line="227" w:lineRule="auto"/>
        <w:ind w:left="419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2"/>
          <w:sz w:val="30"/>
          <w:szCs w:val="30"/>
        </w:rPr>
        <w:t>一、部门职责</w:t>
      </w:r>
    </w:p>
    <w:p>
      <w:pPr>
        <w:spacing w:before="234" w:line="223" w:lineRule="auto"/>
        <w:ind w:left="503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内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容涉密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，按规定不予公开。</w:t>
      </w:r>
    </w:p>
    <w:p>
      <w:pPr>
        <w:spacing w:before="214" w:line="228" w:lineRule="auto"/>
        <w:ind w:left="419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2"/>
          <w:sz w:val="30"/>
          <w:szCs w:val="30"/>
        </w:rPr>
        <w:t>二、机构设置</w:t>
      </w:r>
    </w:p>
    <w:p>
      <w:pPr>
        <w:spacing w:before="233" w:line="223" w:lineRule="auto"/>
        <w:ind w:left="5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内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容涉密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，按规定不予公开。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9" w:type="default"/>
          <w:pgSz w:w="11906" w:h="16840"/>
          <w:pgMar w:top="400" w:right="1785" w:bottom="759" w:left="1785" w:header="0" w:footer="556" w:gutter="0"/>
          <w:cols w:space="720" w:num="1"/>
        </w:sectPr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89"/>
        <w:ind w:left="347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AEAEAE"/>
          <w:position w:val="-23"/>
          <w:sz w:val="44"/>
          <w:szCs w:val="44"/>
        </w:rPr>
        <w:drawing>
          <wp:inline distT="0" distB="0" distL="0" distR="0">
            <wp:extent cx="479425" cy="5784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EAEAE"/>
          <w:spacing w:val="60"/>
          <w:sz w:val="44"/>
          <w:szCs w:val="44"/>
        </w:rPr>
        <w:t xml:space="preserve">  </w:t>
      </w:r>
      <w:r>
        <w:rPr>
          <w:rFonts w:ascii="微软雅黑" w:hAnsi="微软雅黑" w:eastAsia="微软雅黑" w:cs="微软雅黑"/>
          <w:color w:val="AEAEAE"/>
          <w:spacing w:val="7"/>
          <w:sz w:val="44"/>
          <w:szCs w:val="44"/>
        </w:rPr>
        <w:t xml:space="preserve">第二部分   </w:t>
      </w:r>
      <w:r>
        <w:rPr>
          <w:rFonts w:ascii="微软雅黑" w:hAnsi="微软雅黑" w:eastAsia="微软雅黑" w:cs="微软雅黑"/>
          <w:color w:val="A0A0A0"/>
          <w:spacing w:val="7"/>
          <w:sz w:val="44"/>
          <w:szCs w:val="44"/>
        </w:rPr>
        <w:t>2021年度部门决算</w:t>
      </w:r>
    </w:p>
    <w:p>
      <w:pPr>
        <w:rPr>
          <w:rFonts w:ascii="微软雅黑" w:hAnsi="微软雅黑" w:eastAsia="微软雅黑" w:cs="微软雅黑"/>
          <w:sz w:val="44"/>
          <w:szCs w:val="44"/>
        </w:rPr>
        <w:sectPr>
          <w:footerReference r:id="rId10" w:type="default"/>
          <w:pgSz w:w="11906" w:h="16840"/>
          <w:pgMar w:top="400" w:right="1785" w:bottom="763" w:left="1785" w:header="0" w:footer="509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8838" w:lineRule="exact"/>
        <w:ind w:firstLine="414"/>
      </w:pPr>
      <w:r>
        <w:rPr>
          <w:position w:val="-176"/>
        </w:rPr>
        <w:drawing>
          <wp:inline distT="0" distB="0" distL="0" distR="0">
            <wp:extent cx="6911340" cy="561213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38" w:lineRule="exact"/>
        <w:sectPr>
          <w:footerReference r:id="rId11" w:type="default"/>
          <w:pgSz w:w="16840" w:h="11906"/>
          <w:pgMar w:top="400" w:right="2525" w:bottom="935" w:left="2525" w:header="0" w:footer="681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8838" w:lineRule="exact"/>
      </w:pPr>
      <w:r>
        <w:rPr>
          <w:position w:val="-176"/>
        </w:rPr>
        <w:drawing>
          <wp:inline distT="0" distB="0" distL="0" distR="0">
            <wp:extent cx="8175625" cy="561213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176259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38" w:lineRule="exact"/>
        <w:sectPr>
          <w:footerReference r:id="rId12" w:type="default"/>
          <w:pgSz w:w="16840" w:h="11906"/>
          <w:pgMar w:top="400" w:right="2011" w:bottom="935" w:left="1951" w:header="0" w:footer="681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8838" w:lineRule="exact"/>
        <w:ind w:firstLine="85"/>
      </w:pPr>
      <w:r>
        <w:rPr>
          <w:position w:val="-176"/>
        </w:rPr>
        <w:drawing>
          <wp:inline distT="0" distB="0" distL="0" distR="0">
            <wp:extent cx="7336155" cy="561213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36535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38" w:lineRule="exact"/>
        <w:sectPr>
          <w:footerReference r:id="rId13" w:type="default"/>
          <w:pgSz w:w="16840" w:h="11906"/>
          <w:pgMar w:top="400" w:right="2525" w:bottom="935" w:left="2525" w:header="0" w:footer="681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8838" w:lineRule="exact"/>
      </w:pPr>
      <w:r>
        <w:rPr>
          <w:position w:val="-176"/>
        </w:rPr>
        <w:drawing>
          <wp:inline distT="0" distB="0" distL="0" distR="0">
            <wp:extent cx="7553960" cy="561213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4467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38" w:lineRule="exact"/>
        <w:sectPr>
          <w:footerReference r:id="rId14" w:type="default"/>
          <w:pgSz w:w="16840" w:h="11906"/>
          <w:pgMar w:top="400" w:right="2511" w:bottom="935" w:left="2431" w:header="0" w:footer="681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8838" w:lineRule="exact"/>
        <w:ind w:firstLine="1554"/>
      </w:pPr>
      <w:r>
        <w:rPr>
          <w:position w:val="-176"/>
        </w:rPr>
        <w:drawing>
          <wp:inline distT="0" distB="0" distL="0" distR="0">
            <wp:extent cx="5461635" cy="561213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56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38" w:lineRule="exact"/>
        <w:sectPr>
          <w:footerReference r:id="rId15" w:type="default"/>
          <w:pgSz w:w="16840" w:h="11906"/>
          <w:pgMar w:top="400" w:right="2525" w:bottom="933" w:left="2525" w:header="0" w:footer="678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spacing w:line="8522" w:lineRule="exact"/>
      </w:pPr>
      <w:r>
        <w:rPr>
          <w:position w:val="-170"/>
        </w:rPr>
        <w:drawing>
          <wp:inline distT="0" distB="0" distL="0" distR="0">
            <wp:extent cx="9204325" cy="541147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204959" cy="54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522" w:lineRule="exact"/>
        <w:sectPr>
          <w:footerReference r:id="rId16" w:type="default"/>
          <w:pgSz w:w="16840" w:h="11906"/>
          <w:pgMar w:top="400" w:right="1203" w:bottom="929" w:left="1140" w:header="0" w:footer="725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spacing w:line="3055" w:lineRule="exact"/>
      </w:pPr>
      <w:r>
        <w:rPr>
          <w:position w:val="-61"/>
        </w:rPr>
        <w:drawing>
          <wp:inline distT="0" distB="0" distL="0" distR="0">
            <wp:extent cx="9204325" cy="1939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204959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5" w:lineRule="exact"/>
        <w:sectPr>
          <w:footerReference r:id="rId17" w:type="default"/>
          <w:pgSz w:w="16840" w:h="11906"/>
          <w:pgMar w:top="400" w:right="1203" w:bottom="929" w:left="1140" w:header="0" w:footer="725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spacing w:line="4706" w:lineRule="exact"/>
      </w:pPr>
      <w:r>
        <w:rPr>
          <w:position w:val="-94"/>
        </w:rPr>
        <w:drawing>
          <wp:inline distT="0" distB="0" distL="0" distR="0">
            <wp:extent cx="9204325" cy="298767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04959" cy="29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06" w:lineRule="exact"/>
        <w:sectPr>
          <w:footerReference r:id="rId18" w:type="default"/>
          <w:pgSz w:w="16840" w:h="11906"/>
          <w:pgMar w:top="400" w:right="1203" w:bottom="935" w:left="1140" w:header="0" w:footer="681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4840" w:lineRule="exact"/>
        <w:ind w:firstLine="865"/>
      </w:pPr>
      <w:r>
        <w:rPr>
          <w:position w:val="-96"/>
        </w:rPr>
        <w:drawing>
          <wp:inline distT="0" distB="0" distL="0" distR="0">
            <wp:extent cx="6333490" cy="30734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3744" cy="307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40" w:lineRule="exact"/>
        <w:sectPr>
          <w:footerReference r:id="rId19" w:type="default"/>
          <w:pgSz w:w="16840" w:h="11906"/>
          <w:pgMar w:top="400" w:right="2525" w:bottom="929" w:left="2525" w:header="0" w:footer="725" w:gutter="0"/>
          <w:cols w:space="720" w:num="1"/>
        </w:sect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189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color w:val="ACACAC"/>
          <w:position w:val="-14"/>
          <w:sz w:val="44"/>
          <w:szCs w:val="44"/>
        </w:rPr>
        <w:drawing>
          <wp:inline distT="0" distB="0" distL="0" distR="0">
            <wp:extent cx="659765" cy="6096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989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CACAC"/>
          <w:spacing w:val="31"/>
          <w:sz w:val="44"/>
          <w:szCs w:val="44"/>
        </w:rPr>
        <w:t xml:space="preserve">  </w:t>
      </w:r>
      <w:r>
        <w:rPr>
          <w:rFonts w:ascii="微软雅黑" w:hAnsi="微软雅黑" w:eastAsia="微软雅黑" w:cs="微软雅黑"/>
          <w:color w:val="ACACAC"/>
          <w:spacing w:val="10"/>
          <w:sz w:val="44"/>
          <w:szCs w:val="44"/>
        </w:rPr>
        <w:t>第三部分2021年度部门决算情况说明</w:t>
      </w:r>
    </w:p>
    <w:p>
      <w:pPr>
        <w:rPr>
          <w:rFonts w:ascii="微软雅黑" w:hAnsi="微软雅黑" w:eastAsia="微软雅黑" w:cs="微软雅黑"/>
          <w:sz w:val="44"/>
          <w:szCs w:val="44"/>
        </w:rPr>
        <w:sectPr>
          <w:footerReference r:id="rId20" w:type="default"/>
          <w:pgSz w:w="11906" w:h="16840"/>
          <w:pgMar w:top="400" w:right="1785" w:bottom="934" w:left="1380" w:header="0" w:footer="679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98" w:line="227" w:lineRule="auto"/>
        <w:ind w:left="63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6"/>
          <w:sz w:val="30"/>
          <w:szCs w:val="30"/>
        </w:rPr>
        <w:t>一、收入支出决算总体情况说明</w:t>
      </w:r>
    </w:p>
    <w:p>
      <w:pPr>
        <w:spacing w:before="225" w:line="336" w:lineRule="auto"/>
        <w:ind w:firstLine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本部门 2021 年度收、支总计（含结转和结余）2456.06 万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元。与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2020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年度决算相比，收支各增加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410.61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万元，增长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20.1%，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主要原因是 2021 年新增镇街改革补贴自基金、解决信访突出问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题攻坚化解行动经费、河道环境治理经费、后孟营水源地保护区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调整种植结构农民补贴、农村人居环境整治经费马坨店扶持壮大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村级集体经济等项目  </w:t>
      </w:r>
      <w:r>
        <w:rPr>
          <w:rFonts w:ascii="仿宋" w:hAnsi="仿宋" w:eastAsia="仿宋" w:cs="仿宋"/>
          <w:spacing w:val="1"/>
          <w:sz w:val="28"/>
          <w:szCs w:val="28"/>
        </w:rPr>
        <w:t>以及追加新增录取人员的工资支出</w:t>
      </w:r>
      <w:r>
        <w:rPr>
          <w:rFonts w:ascii="仿宋" w:hAnsi="仿宋" w:eastAsia="仿宋" w:cs="仿宋"/>
          <w:spacing w:val="1"/>
          <w:sz w:val="30"/>
          <w:szCs w:val="30"/>
        </w:rPr>
        <w:t>。</w:t>
      </w:r>
    </w:p>
    <w:p>
      <w:pPr>
        <w:spacing w:line="4305" w:lineRule="exact"/>
        <w:ind w:firstLine="784"/>
      </w:pPr>
      <w:r>
        <w:rPr>
          <w:position w:val="-86"/>
        </w:rPr>
        <w:drawing>
          <wp:inline distT="0" distB="0" distL="0" distR="0">
            <wp:extent cx="4572000" cy="273367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4" w:lineRule="auto"/>
      </w:pPr>
    </w:p>
    <w:p>
      <w:pPr>
        <w:spacing w:before="98" w:line="227" w:lineRule="auto"/>
        <w:ind w:left="635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二、收入决算情况说明</w:t>
      </w:r>
    </w:p>
    <w:p>
      <w:pPr>
        <w:spacing w:before="228" w:line="340" w:lineRule="auto"/>
        <w:ind w:right="45" w:firstLine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本部门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2021 年度收入合计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2456.06 万元，其中：财政拨款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收入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2456.06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 占 100.0%；事业收入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0.00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 占</w:t>
      </w:r>
      <w:r>
        <w:rPr>
          <w:rFonts w:ascii="仿宋" w:hAnsi="仿宋" w:eastAsia="仿宋" w:cs="仿宋"/>
          <w:spacing w:val="-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0.0</w:t>
      </w:r>
      <w:r>
        <w:rPr>
          <w:rFonts w:ascii="仿宋" w:hAnsi="仿宋" w:eastAsia="仿宋" w:cs="仿宋"/>
          <w:spacing w:val="-4"/>
          <w:sz w:val="30"/>
          <w:szCs w:val="30"/>
        </w:rPr>
        <w:t>%；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经营收入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0.00 万元， 占</w:t>
      </w:r>
      <w:r>
        <w:rPr>
          <w:rFonts w:ascii="仿宋" w:hAnsi="仿宋" w:eastAsia="仿宋" w:cs="仿宋"/>
          <w:spacing w:val="-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0.0%；其他收入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0.00</w:t>
      </w:r>
      <w:r>
        <w:rPr>
          <w:rFonts w:ascii="仿宋" w:hAnsi="仿宋" w:eastAsia="仿宋" w:cs="仿宋"/>
          <w:spacing w:val="-3"/>
          <w:sz w:val="30"/>
          <w:szCs w:val="30"/>
        </w:rPr>
        <w:t xml:space="preserve"> 万元， 占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0.0%。</w:t>
      </w:r>
    </w:p>
    <w:p>
      <w:pPr>
        <w:spacing w:line="340" w:lineRule="auto"/>
        <w:rPr>
          <w:rFonts w:ascii="仿宋" w:hAnsi="仿宋" w:eastAsia="仿宋" w:cs="仿宋"/>
          <w:sz w:val="30"/>
          <w:szCs w:val="30"/>
        </w:rPr>
        <w:sectPr>
          <w:footerReference r:id="rId21" w:type="default"/>
          <w:pgSz w:w="11906" w:h="16840"/>
          <w:pgMar w:top="400" w:right="1449" w:bottom="934" w:left="1569" w:header="0" w:footer="680" w:gutter="0"/>
          <w:cols w:space="720" w:num="1"/>
        </w:sectPr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spacing w:line="4858" w:lineRule="exact"/>
        <w:ind w:firstLine="961"/>
      </w:pPr>
      <w:r>
        <w:rPr>
          <w:position w:val="-97"/>
        </w:rPr>
        <w:drawing>
          <wp:inline distT="0" distB="0" distL="0" distR="0">
            <wp:extent cx="4572000" cy="308483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0" w:line="227" w:lineRule="auto"/>
        <w:ind w:left="633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三、支出决算情况说明</w:t>
      </w:r>
    </w:p>
    <w:p>
      <w:pPr>
        <w:spacing w:before="230" w:line="341" w:lineRule="auto"/>
        <w:ind w:right="45" w:firstLine="64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本部门 2021 年度支出合计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2456.06 万元，其中</w:t>
      </w:r>
      <w:r>
        <w:rPr>
          <w:rFonts w:ascii="仿宋" w:hAnsi="仿宋" w:eastAsia="仿宋" w:cs="仿宋"/>
          <w:spacing w:val="5"/>
          <w:sz w:val="30"/>
          <w:szCs w:val="30"/>
        </w:rPr>
        <w:t>：基本支出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1326.82 万元， 占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54.0%；项目支出 11</w:t>
      </w:r>
      <w:r>
        <w:rPr>
          <w:rFonts w:ascii="仿宋" w:hAnsi="仿宋" w:eastAsia="仿宋" w:cs="仿宋"/>
          <w:spacing w:val="-2"/>
          <w:sz w:val="30"/>
          <w:szCs w:val="30"/>
        </w:rPr>
        <w:t>29.24 万元， 占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46.0%；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经营支出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0.00 万元， 占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0.0%。</w:t>
      </w:r>
    </w:p>
    <w:p>
      <w:pPr>
        <w:pStyle w:val="2"/>
        <w:spacing w:line="276" w:lineRule="auto"/>
      </w:pPr>
    </w:p>
    <w:p>
      <w:pPr>
        <w:spacing w:line="4304" w:lineRule="exact"/>
        <w:ind w:firstLine="961"/>
      </w:pPr>
      <w:r>
        <w:rPr>
          <w:position w:val="-86"/>
        </w:rPr>
        <w:drawing>
          <wp:inline distT="0" distB="0" distL="0" distR="0">
            <wp:extent cx="4572000" cy="27324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spacing w:before="98" w:line="227" w:lineRule="auto"/>
        <w:ind w:left="660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四、财政拨款收入支出决算总体情况说明</w:t>
      </w:r>
    </w:p>
    <w:p>
      <w:pPr>
        <w:spacing w:before="202" w:line="349" w:lineRule="exact"/>
        <w:ind w:left="78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C8C8C8"/>
          <w:spacing w:val="-4"/>
          <w:position w:val="-1"/>
          <w:sz w:val="34"/>
          <w:szCs w:val="34"/>
        </w:rPr>
        <w:t>(一)财政拨款收支与2020年度决算对比情况</w:t>
      </w:r>
    </w:p>
    <w:p>
      <w:pPr>
        <w:spacing w:before="239" w:line="228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本部门 2021 年度财政拨款本年收入 2456.06 万元,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比</w:t>
      </w:r>
    </w:p>
    <w:p>
      <w:pPr>
        <w:spacing w:line="228" w:lineRule="auto"/>
        <w:rPr>
          <w:rFonts w:ascii="仿宋" w:hAnsi="仿宋" w:eastAsia="仿宋" w:cs="仿宋"/>
          <w:sz w:val="30"/>
          <w:szCs w:val="30"/>
        </w:rPr>
        <w:sectPr>
          <w:footerReference r:id="rId22" w:type="default"/>
          <w:pgSz w:w="11906" w:h="16840"/>
          <w:pgMar w:top="400" w:right="1537" w:bottom="934" w:left="1573" w:header="0" w:footer="680" w:gutter="0"/>
          <w:cols w:space="720" w:num="1"/>
        </w:sectPr>
      </w:pP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98" w:line="351" w:lineRule="auto"/>
        <w:ind w:left="5" w:hanging="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2020 年度增加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450.84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万元，增长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22.5%，主要原因是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2021 年新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0"/>
          <w:sz w:val="30"/>
          <w:szCs w:val="30"/>
        </w:rPr>
        <w:t>增镇街改革补贴自基金、解决信访突出问题攻坚化解行动经费、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河道环境治理经费、后孟营水源地保护区调整种植结构农民补贴、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0"/>
          <w:sz w:val="30"/>
          <w:szCs w:val="30"/>
        </w:rPr>
        <w:t>农村人居环境整治经费马坨店扶持壮大村级集体经济等项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0"/>
          <w:sz w:val="30"/>
          <w:szCs w:val="30"/>
        </w:rPr>
        <w:t>目</w:t>
      </w:r>
      <w:r>
        <w:rPr>
          <w:rFonts w:ascii="仿宋" w:hAnsi="仿宋" w:eastAsia="仿宋" w:cs="仿宋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-2"/>
          <w:sz w:val="28"/>
          <w:szCs w:val="28"/>
        </w:rPr>
        <w:t>以及追加新增录取人员的工资支出</w:t>
      </w:r>
      <w:r>
        <w:rPr>
          <w:rFonts w:ascii="仿宋" w:hAnsi="仿宋" w:eastAsia="仿宋" w:cs="仿宋"/>
          <w:spacing w:val="-2"/>
          <w:sz w:val="30"/>
          <w:szCs w:val="30"/>
        </w:rPr>
        <w:t>；本年支出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2456.06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万元，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比上年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6"/>
          <w:sz w:val="30"/>
          <w:szCs w:val="30"/>
        </w:rPr>
        <w:t>增加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410.61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万元，增长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20.1%，主要原因是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2021 年</w:t>
      </w:r>
      <w:r>
        <w:rPr>
          <w:rFonts w:ascii="仿宋" w:hAnsi="仿宋" w:eastAsia="仿宋" w:cs="仿宋"/>
          <w:spacing w:val="5"/>
          <w:sz w:val="30"/>
          <w:szCs w:val="30"/>
        </w:rPr>
        <w:t>新增镇街改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革补贴自基金、解决信访突出问题攻坚化解行动经费、河道环境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治理经费、后孟营水源地保护区调整种植结构农民补贴、农村人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居环境整治经费马坨店扶持壮大村级集体经济等项目  </w:t>
      </w:r>
      <w:r>
        <w:rPr>
          <w:rFonts w:ascii="仿宋" w:hAnsi="仿宋" w:eastAsia="仿宋" w:cs="仿宋"/>
          <w:spacing w:val="16"/>
          <w:sz w:val="28"/>
          <w:szCs w:val="28"/>
        </w:rPr>
        <w:t>以及追加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1"/>
          <w:sz w:val="28"/>
          <w:szCs w:val="28"/>
        </w:rPr>
        <w:t>新增录取人员的工资支出</w:t>
      </w:r>
      <w:r>
        <w:rPr>
          <w:rFonts w:ascii="仿宋" w:hAnsi="仿宋" w:eastAsia="仿宋" w:cs="仿宋"/>
          <w:spacing w:val="1"/>
          <w:sz w:val="30"/>
          <w:szCs w:val="30"/>
        </w:rPr>
        <w:t>。具体情况如下：</w:t>
      </w:r>
    </w:p>
    <w:p>
      <w:pPr>
        <w:spacing w:before="66" w:line="352" w:lineRule="auto"/>
        <w:ind w:left="6" w:right="191" w:firstLine="67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1.一般公共预算财政拨款本年收入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2456.06 万元</w:t>
      </w:r>
      <w:r>
        <w:rPr>
          <w:rFonts w:ascii="仿宋" w:hAnsi="仿宋" w:eastAsia="仿宋" w:cs="仿宋"/>
          <w:spacing w:val="4"/>
          <w:sz w:val="30"/>
          <w:szCs w:val="30"/>
        </w:rPr>
        <w:t>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比上年增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加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450.84 万元，增长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22.5%；主要原因是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</w:t>
      </w:r>
      <w:r>
        <w:rPr>
          <w:rFonts w:ascii="仿宋" w:hAnsi="仿宋" w:eastAsia="仿宋" w:cs="仿宋"/>
          <w:spacing w:val="5"/>
          <w:sz w:val="30"/>
          <w:szCs w:val="30"/>
        </w:rPr>
        <w:t>21 年新增镇街改革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补贴自基金、解决信访突出问题攻坚化解行动经费、河道环境治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理经费、后孟营水源地保护区调整种植结构农民补贴、农村人居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环境整治经费马坨店扶持壮大村级集体经济等项目  </w:t>
      </w:r>
      <w:r>
        <w:rPr>
          <w:rFonts w:ascii="仿宋" w:hAnsi="仿宋" w:eastAsia="仿宋" w:cs="仿宋"/>
          <w:spacing w:val="17"/>
          <w:sz w:val="28"/>
          <w:szCs w:val="28"/>
        </w:rPr>
        <w:t>以及追</w:t>
      </w:r>
      <w:r>
        <w:rPr>
          <w:rFonts w:ascii="仿宋" w:hAnsi="仿宋" w:eastAsia="仿宋" w:cs="仿宋"/>
          <w:spacing w:val="16"/>
          <w:sz w:val="28"/>
          <w:szCs w:val="28"/>
        </w:rPr>
        <w:t>加新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增录取人员的工资支出</w:t>
      </w:r>
      <w:r>
        <w:rPr>
          <w:rFonts w:ascii="仿宋" w:hAnsi="仿宋" w:eastAsia="仿宋" w:cs="仿宋"/>
          <w:spacing w:val="-3"/>
          <w:sz w:val="30"/>
          <w:szCs w:val="30"/>
        </w:rPr>
        <w:t>；本年支出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2456.06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万元，比上年增加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410.61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万元，增长 20.1%，主要原因是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2021 年新增</w:t>
      </w:r>
      <w:r>
        <w:rPr>
          <w:rFonts w:ascii="仿宋" w:hAnsi="仿宋" w:eastAsia="仿宋" w:cs="仿宋"/>
          <w:spacing w:val="12"/>
          <w:sz w:val="30"/>
          <w:szCs w:val="30"/>
        </w:rPr>
        <w:t>镇街改革补贴自基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金、解决信访突出问题攻坚化解行动经费、河道</w:t>
      </w:r>
      <w:r>
        <w:rPr>
          <w:rFonts w:ascii="仿宋" w:hAnsi="仿宋" w:eastAsia="仿宋" w:cs="仿宋"/>
          <w:spacing w:val="14"/>
          <w:sz w:val="30"/>
          <w:szCs w:val="30"/>
        </w:rPr>
        <w:t>环境治理经费、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后孟营水源地保护区调整种植结构农民补贴、农村人居环境整治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经费马坨店扶持壮大村级集体经济等项目  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以及追加新增录取人员 </w:t>
      </w:r>
      <w:r>
        <w:rPr>
          <w:rFonts w:ascii="仿宋" w:hAnsi="仿宋" w:eastAsia="仿宋" w:cs="仿宋"/>
          <w:spacing w:val="-7"/>
          <w:sz w:val="28"/>
          <w:szCs w:val="28"/>
        </w:rPr>
        <w:t>的工资支出</w:t>
      </w:r>
      <w:r>
        <w:rPr>
          <w:rFonts w:ascii="仿宋" w:hAnsi="仿宋" w:eastAsia="仿宋" w:cs="仿宋"/>
          <w:spacing w:val="-7"/>
          <w:sz w:val="30"/>
          <w:szCs w:val="30"/>
        </w:rPr>
        <w:t>。</w:t>
      </w:r>
    </w:p>
    <w:p>
      <w:pPr>
        <w:spacing w:before="33" w:line="355" w:lineRule="auto"/>
        <w:ind w:left="13" w:right="209" w:firstLine="6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2.政府性基金预算财政拨款本年收入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0.00 万元，与上年持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平；本年支出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万元，与上年持平。</w:t>
      </w:r>
    </w:p>
    <w:p>
      <w:pPr>
        <w:spacing w:before="29" w:line="228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3.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国有资本经营预算财政拨款本年收入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0.00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万元，与上年</w:t>
      </w:r>
    </w:p>
    <w:p>
      <w:pPr>
        <w:spacing w:line="228" w:lineRule="auto"/>
        <w:rPr>
          <w:rFonts w:ascii="仿宋" w:hAnsi="仿宋" w:eastAsia="仿宋" w:cs="仿宋"/>
          <w:sz w:val="30"/>
          <w:szCs w:val="30"/>
        </w:rPr>
        <w:sectPr>
          <w:footerReference r:id="rId23" w:type="default"/>
          <w:pgSz w:w="11906" w:h="16840"/>
          <w:pgMar w:top="400" w:right="1333" w:bottom="934" w:left="1560" w:header="0" w:footer="680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spacing w:before="97" w:line="229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持平；本年支出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万元，与上年持平。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line="4664" w:lineRule="exact"/>
        <w:ind w:firstLine="956"/>
      </w:pPr>
      <w:r>
        <w:rPr>
          <w:position w:val="-93"/>
        </w:rPr>
        <w:drawing>
          <wp:inline distT="0" distB="0" distL="0" distR="0">
            <wp:extent cx="4562475" cy="29616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62855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7" w:line="349" w:lineRule="exact"/>
        <w:ind w:left="77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B2B2B2"/>
          <w:spacing w:val="-7"/>
          <w:position w:val="-1"/>
          <w:sz w:val="34"/>
          <w:szCs w:val="34"/>
        </w:rPr>
        <w:t>(二)财政拨款收支与年初预算数对比情况</w:t>
      </w:r>
    </w:p>
    <w:p>
      <w:pPr>
        <w:pStyle w:val="2"/>
        <w:spacing w:line="410" w:lineRule="auto"/>
      </w:pPr>
    </w:p>
    <w:p>
      <w:pPr>
        <w:spacing w:before="98" w:line="350" w:lineRule="auto"/>
        <w:ind w:left="35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本部门 2021 年度财政拨款本年收入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2456.06 万元，完成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年初预算的 117.6%,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比年初预算增加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368.02 万元，决</w:t>
      </w:r>
      <w:r>
        <w:rPr>
          <w:rFonts w:ascii="仿宋" w:hAnsi="仿宋" w:eastAsia="仿宋" w:cs="仿宋"/>
          <w:spacing w:val="9"/>
          <w:sz w:val="30"/>
          <w:szCs w:val="30"/>
        </w:rPr>
        <w:t>算数大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于预算数主要原因是</w:t>
      </w:r>
      <w:r>
        <w:rPr>
          <w:rFonts w:ascii="仿宋" w:hAnsi="仿宋" w:eastAsia="仿宋" w:cs="仿宋"/>
          <w:spacing w:val="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2020 年预算执行过程中进行了项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目追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加， 以及追加新增录取人员的工资支出；本年支出 2456.06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万元，完成年初预算的 117.6%,比年初预算增加</w:t>
      </w:r>
      <w:r>
        <w:rPr>
          <w:rFonts w:ascii="仿宋" w:hAnsi="仿宋" w:eastAsia="仿宋" w:cs="仿宋"/>
          <w:spacing w:val="-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368.02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决算数大于预算数主要原因是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2020</w:t>
      </w:r>
      <w:r>
        <w:rPr>
          <w:rFonts w:ascii="仿宋" w:hAnsi="仿宋" w:eastAsia="仿宋" w:cs="仿宋"/>
          <w:spacing w:val="-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年预算执行过程中进行了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项目追加， 以及追加新增录取人员的工资支出。具体情况如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下：</w:t>
      </w:r>
    </w:p>
    <w:p>
      <w:pPr>
        <w:spacing w:before="73" w:line="346" w:lineRule="auto"/>
        <w:ind w:right="45" w:firstLine="66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1.一般公共预算财政拨款本年收入完成年初预算 117.6%，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比年初预算增加 368.02 万元，主要是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2020 年预算执行</w:t>
      </w:r>
      <w:r>
        <w:rPr>
          <w:rFonts w:ascii="仿宋" w:hAnsi="仿宋" w:eastAsia="仿宋" w:cs="仿宋"/>
          <w:spacing w:val="3"/>
          <w:sz w:val="30"/>
          <w:szCs w:val="30"/>
        </w:rPr>
        <w:t>过程中进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行了项目追加，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以及追加新增录取人员的工资支出；本年支出完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成年初预算 117.6%，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比年初预算增加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368.02 万</w:t>
      </w:r>
      <w:r>
        <w:rPr>
          <w:rFonts w:ascii="仿宋" w:hAnsi="仿宋" w:eastAsia="仿宋" w:cs="仿宋"/>
          <w:spacing w:val="2"/>
          <w:sz w:val="30"/>
          <w:szCs w:val="30"/>
        </w:rPr>
        <w:t>元，主要是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2020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年预算执行过程中进行了项目追加，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以及追加新增录取人员的工</w:t>
      </w:r>
    </w:p>
    <w:p>
      <w:pPr>
        <w:spacing w:line="346" w:lineRule="auto"/>
        <w:rPr>
          <w:rFonts w:ascii="仿宋" w:hAnsi="仿宋" w:eastAsia="仿宋" w:cs="仿宋"/>
          <w:sz w:val="30"/>
          <w:szCs w:val="30"/>
        </w:rPr>
        <w:sectPr>
          <w:footerReference r:id="rId24" w:type="default"/>
          <w:pgSz w:w="11906" w:h="16840"/>
          <w:pgMar w:top="400" w:right="1487" w:bottom="934" w:left="1575" w:header="0" w:footer="680" w:gutter="0"/>
          <w:cols w:space="720" w:num="1"/>
        </w:sectPr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spacing w:before="97" w:line="230" w:lineRule="auto"/>
        <w:ind w:left="4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资支出。</w:t>
      </w:r>
    </w:p>
    <w:p>
      <w:pPr>
        <w:spacing w:before="179" w:line="355" w:lineRule="auto"/>
        <w:ind w:left="15" w:right="76"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2.政府性基金预算财政拨款本年收入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0.00 万元，与预算持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平；本年支出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万元，与预算持平。</w:t>
      </w:r>
    </w:p>
    <w:p>
      <w:pPr>
        <w:spacing w:before="3" w:line="355" w:lineRule="auto"/>
        <w:ind w:left="20" w:right="76"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3.</w:t>
      </w:r>
      <w:r>
        <w:rPr>
          <w:rFonts w:ascii="仿宋" w:hAnsi="仿宋" w:eastAsia="仿宋" w:cs="仿宋"/>
          <w:spacing w:val="-8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国有资本经营预算财政拨款本年收入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0.00 万</w:t>
      </w:r>
      <w:r>
        <w:rPr>
          <w:rFonts w:ascii="仿宋" w:hAnsi="仿宋" w:eastAsia="仿宋" w:cs="仿宋"/>
          <w:spacing w:val="10"/>
          <w:sz w:val="30"/>
          <w:szCs w:val="30"/>
        </w:rPr>
        <w:t>元，与预算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持平；本年支出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 万元，与预算持平。</w:t>
      </w: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spacing w:line="4305" w:lineRule="exact"/>
        <w:ind w:firstLine="796"/>
      </w:pPr>
      <w:r>
        <w:rPr>
          <w:position w:val="-86"/>
        </w:rPr>
        <w:drawing>
          <wp:inline distT="0" distB="0" distL="0" distR="0">
            <wp:extent cx="4562475" cy="273367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62855" cy="27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8" w:line="344" w:lineRule="exact"/>
        <w:ind w:left="57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B4B4B4"/>
          <w:spacing w:val="-6"/>
          <w:position w:val="-1"/>
          <w:sz w:val="34"/>
          <w:szCs w:val="34"/>
        </w:rPr>
        <w:t>(三)财政拨款支出决算结构情况。</w:t>
      </w:r>
    </w:p>
    <w:p>
      <w:pPr>
        <w:spacing w:before="244" w:line="229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2021 年度财政拨款支出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2456.06 万元，主要用于以下方面。</w:t>
      </w:r>
    </w:p>
    <w:p>
      <w:pPr>
        <w:spacing w:before="221" w:line="351" w:lineRule="auto"/>
        <w:ind w:right="42" w:firstLine="66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一般公共服务（类）支出 1284.98 万元， 占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52.3%，主要用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于人员工资、补贴等支出；教育（类）支出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25.77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占 1.0%，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主要用于非公幼儿教师工资等支出；卫生健康</w:t>
      </w:r>
      <w:r>
        <w:rPr>
          <w:rFonts w:ascii="仿宋" w:hAnsi="仿宋" w:eastAsia="仿宋" w:cs="仿宋"/>
          <w:spacing w:val="14"/>
          <w:sz w:val="30"/>
          <w:szCs w:val="30"/>
        </w:rPr>
        <w:t>（类）支出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91.72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万元， 占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3.7%，主要用于人员医疗保险、计生临聘人员工资等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支出；节能环保（类）支出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61.65 万</w:t>
      </w:r>
      <w:r>
        <w:rPr>
          <w:rFonts w:ascii="仿宋" w:hAnsi="仿宋" w:eastAsia="仿宋" w:cs="仿宋"/>
          <w:spacing w:val="9"/>
          <w:sz w:val="30"/>
          <w:szCs w:val="30"/>
        </w:rPr>
        <w:t>元， 占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2.5%，主要用于水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源地保护区调整种植结构农民补贴等支出；农林水（类）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935.94 万元，</w:t>
      </w:r>
      <w:r>
        <w:rPr>
          <w:rFonts w:ascii="仿宋" w:hAnsi="仿宋" w:eastAsia="仿宋" w:cs="仿宋"/>
          <w:spacing w:val="-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占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38.1%，主要用于对各村的补助、村干部工资补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贴等支出；住房保障（类）支出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55.99 万元， 占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2.3%，主要用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于在职人员住房公积金等支出。</w:t>
      </w:r>
    </w:p>
    <w:p>
      <w:pPr>
        <w:spacing w:line="351" w:lineRule="auto"/>
        <w:rPr>
          <w:rFonts w:ascii="仿宋" w:hAnsi="仿宋" w:eastAsia="仿宋" w:cs="仿宋"/>
          <w:sz w:val="30"/>
          <w:szCs w:val="30"/>
        </w:rPr>
        <w:sectPr>
          <w:footerReference r:id="rId25" w:type="default"/>
          <w:pgSz w:w="11906" w:h="16840"/>
          <w:pgMar w:top="400" w:right="1466" w:bottom="934" w:left="1555" w:header="0" w:footer="679" w:gutter="0"/>
          <w:cols w:space="720" w:num="1"/>
        </w:sectPr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spacing w:before="145" w:line="348" w:lineRule="exact"/>
        <w:ind w:left="564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BCBCBC"/>
          <w:spacing w:val="-7"/>
          <w:position w:val="-1"/>
          <w:sz w:val="34"/>
          <w:szCs w:val="34"/>
        </w:rPr>
        <w:t>(四)一般公共预算基本支出决算情况说明</w:t>
      </w:r>
    </w:p>
    <w:p>
      <w:pPr>
        <w:spacing w:before="242" w:line="229" w:lineRule="auto"/>
        <w:ind w:left="63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2021 年度财政拨款基本支出 1326.82 万元，其中：</w:t>
      </w:r>
    </w:p>
    <w:p>
      <w:pPr>
        <w:spacing w:before="224" w:line="351" w:lineRule="auto"/>
        <w:ind w:right="83" w:firstLine="65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人员经费 1255.81 万元，主要包括基本工资、津贴补贴、奖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金、绩效工资、机关事业单位基本养老保险缴费、职业年金缴费、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职工基本医疗保险缴费、住房公积金、其他社会保障缴费、离休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费、退休费、抚恤金、生活补助、奖励金；公用经费 71.01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主要包括办公费、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电费、取暖费、差旅费、公务</w:t>
      </w:r>
      <w:r>
        <w:rPr>
          <w:rFonts w:ascii="仿宋" w:hAnsi="仿宋" w:eastAsia="仿宋" w:cs="仿宋"/>
          <w:spacing w:val="11"/>
          <w:sz w:val="30"/>
          <w:szCs w:val="30"/>
        </w:rPr>
        <w:t>接待费、工会经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费、公务用车运行维护费、 其他交通费用</w:t>
      </w:r>
      <w:r>
        <w:rPr>
          <w:rFonts w:ascii="仿宋" w:hAnsi="仿宋" w:eastAsia="仿宋" w:cs="仿宋"/>
          <w:spacing w:val="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、其他商品和服务支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出。</w:t>
      </w:r>
    </w:p>
    <w:p>
      <w:pPr>
        <w:spacing w:before="38" w:line="227" w:lineRule="auto"/>
        <w:ind w:left="641"/>
        <w:outlineLvl w:val="1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7"/>
          <w:sz w:val="30"/>
          <w:szCs w:val="30"/>
        </w:rPr>
        <w:t>五、一般公共预算“三公”经费支出决算情况说明</w:t>
      </w:r>
    </w:p>
    <w:p>
      <w:pPr>
        <w:spacing w:before="194" w:line="354" w:lineRule="exact"/>
        <w:ind w:left="78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ABABAB"/>
          <w:spacing w:val="-14"/>
          <w:w w:val="96"/>
          <w:position w:val="-1"/>
          <w:sz w:val="35"/>
          <w:szCs w:val="35"/>
        </w:rPr>
        <w:t>(一)</w:t>
      </w:r>
      <w:r>
        <w:rPr>
          <w:rFonts w:ascii="微软雅黑" w:hAnsi="微软雅黑" w:eastAsia="微软雅黑" w:cs="微软雅黑"/>
          <w:color w:val="ABABAB"/>
          <w:spacing w:val="37"/>
          <w:position w:val="-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C1C1C1"/>
          <w:spacing w:val="-14"/>
          <w:w w:val="96"/>
          <w:position w:val="-1"/>
          <w:sz w:val="35"/>
          <w:szCs w:val="35"/>
        </w:rPr>
        <w:t>"三公</w:t>
      </w:r>
      <w:r>
        <w:rPr>
          <w:position w:val="7"/>
          <w:sz w:val="35"/>
          <w:szCs w:val="35"/>
        </w:rPr>
        <w:drawing>
          <wp:inline distT="0" distB="0" distL="0" distR="0">
            <wp:extent cx="147320" cy="1035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7739" cy="1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C1C1C1"/>
          <w:spacing w:val="5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B7B7B"/>
          <w:spacing w:val="-14"/>
          <w:w w:val="96"/>
          <w:position w:val="-2"/>
          <w:sz w:val="35"/>
          <w:szCs w:val="35"/>
        </w:rPr>
        <w:t>经费财政拨款支出决算总体情况说明</w:t>
      </w:r>
    </w:p>
    <w:p>
      <w:pPr>
        <w:spacing w:before="263" w:line="348" w:lineRule="auto"/>
        <w:ind w:right="134" w:firstLine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本部门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2021 年度“三公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”经费财政拨款支出预算为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5.33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元，支出决算为 5.33 万元，完成预算的 100.0%,较预算持平；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较 2020 年度决算减少 15.46 万元，降低</w:t>
      </w:r>
      <w:r>
        <w:rPr>
          <w:rFonts w:ascii="仿宋" w:hAnsi="仿宋" w:eastAsia="仿宋" w:cs="仿宋"/>
          <w:spacing w:val="-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74.4%，主要是本年无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新购公务用车且全年认真贯彻落实中央八项规定精神和厉行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节约要求，从严控制“三公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”经费开支，全年实际支出较预算和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去年有所节约。</w:t>
      </w:r>
    </w:p>
    <w:p>
      <w:pPr>
        <w:spacing w:before="42" w:line="354" w:lineRule="exact"/>
        <w:ind w:left="78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AFAFAF"/>
          <w:spacing w:val="-15"/>
          <w:w w:val="96"/>
          <w:position w:val="-1"/>
          <w:sz w:val="35"/>
          <w:szCs w:val="35"/>
        </w:rPr>
        <w:t>(二)</w:t>
      </w:r>
      <w:r>
        <w:rPr>
          <w:rFonts w:ascii="微软雅黑" w:hAnsi="微软雅黑" w:eastAsia="微软雅黑" w:cs="微软雅黑"/>
          <w:color w:val="AFAFAF"/>
          <w:spacing w:val="48"/>
          <w:position w:val="-1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AEAEAE"/>
          <w:spacing w:val="-15"/>
          <w:w w:val="96"/>
          <w:position w:val="-1"/>
          <w:sz w:val="35"/>
          <w:szCs w:val="35"/>
        </w:rPr>
        <w:t>"三公</w:t>
      </w:r>
      <w:r>
        <w:rPr>
          <w:position w:val="8"/>
          <w:sz w:val="35"/>
          <w:szCs w:val="35"/>
        </w:rPr>
        <w:drawing>
          <wp:inline distT="0" distB="0" distL="0" distR="0">
            <wp:extent cx="147320" cy="10350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739" cy="1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EAEAE"/>
          <w:spacing w:val="5"/>
          <w:position w:val="-1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787878"/>
          <w:spacing w:val="-15"/>
          <w:w w:val="96"/>
          <w:position w:val="-1"/>
          <w:sz w:val="35"/>
          <w:szCs w:val="35"/>
        </w:rPr>
        <w:t>经费财政拨款支出决算具体情况说明</w:t>
      </w:r>
    </w:p>
    <w:p>
      <w:pPr>
        <w:pStyle w:val="2"/>
        <w:spacing w:before="238" w:line="309" w:lineRule="auto"/>
        <w:ind w:left="10" w:firstLine="607"/>
        <w:jc w:val="both"/>
        <w:rPr>
          <w:rFonts w:ascii="仿宋" w:hAnsi="仿宋" w:eastAsia="仿宋" w:cs="仿宋"/>
          <w:sz w:val="30"/>
          <w:szCs w:val="30"/>
        </w:rPr>
      </w:pPr>
      <w:r>
        <w:rPr>
          <w:color w:val="B4B4B4"/>
          <w:spacing w:val="21"/>
          <w:sz w:val="30"/>
          <w:szCs w:val="30"/>
        </w:rPr>
        <w:t xml:space="preserve">1. </w:t>
      </w:r>
      <w:r>
        <w:rPr>
          <w:rFonts w:ascii="微软雅黑" w:hAnsi="微软雅黑" w:eastAsia="微软雅黑" w:cs="微软雅黑"/>
          <w:color w:val="8F8F8F"/>
          <w:spacing w:val="21"/>
          <w:sz w:val="30"/>
          <w:szCs w:val="30"/>
        </w:rPr>
        <w:t xml:space="preserve">因公出国(境)费支出情况。  </w:t>
      </w:r>
      <w:r>
        <w:rPr>
          <w:rFonts w:ascii="仿宋" w:hAnsi="仿宋" w:eastAsia="仿宋" w:cs="仿宋"/>
          <w:spacing w:val="21"/>
          <w:sz w:val="30"/>
          <w:szCs w:val="30"/>
        </w:rPr>
        <w:t>本部门 2021 年度因公出国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（境）费支出预算为 0.00 万元，支</w:t>
      </w:r>
      <w:r>
        <w:rPr>
          <w:rFonts w:ascii="仿宋" w:hAnsi="仿宋" w:eastAsia="仿宋" w:cs="仿宋"/>
          <w:spacing w:val="7"/>
          <w:sz w:val="30"/>
          <w:szCs w:val="30"/>
        </w:rPr>
        <w:t>出决算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0.00 万元。其中因公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出国（境）团组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0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个、共</w:t>
      </w:r>
      <w:r>
        <w:rPr>
          <w:rFonts w:ascii="仿宋" w:hAnsi="仿宋" w:eastAsia="仿宋" w:cs="仿宋"/>
          <w:spacing w:val="-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0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人、参加其他单位组织的因公出国（境）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团组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 个、共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 人</w:t>
      </w:r>
      <w:r>
        <w:rPr>
          <w:color w:val="DBDBDB"/>
          <w:spacing w:val="4"/>
          <w:position w:val="1"/>
          <w:sz w:val="44"/>
          <w:szCs w:val="44"/>
        </w:rPr>
        <w:t>/</w:t>
      </w:r>
      <w:r>
        <w:rPr>
          <w:rFonts w:ascii="仿宋" w:hAnsi="仿宋" w:eastAsia="仿宋" w:cs="仿宋"/>
          <w:spacing w:val="4"/>
          <w:sz w:val="30"/>
          <w:szCs w:val="30"/>
        </w:rPr>
        <w:t>无本单位组织的出国（</w:t>
      </w:r>
      <w:r>
        <w:rPr>
          <w:rFonts w:ascii="仿宋" w:hAnsi="仿宋" w:eastAsia="仿宋" w:cs="仿宋"/>
          <w:spacing w:val="3"/>
          <w:sz w:val="30"/>
          <w:szCs w:val="30"/>
        </w:rPr>
        <w:t>境） 团组。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因公出国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4"/>
          <w:sz w:val="30"/>
          <w:szCs w:val="30"/>
        </w:rPr>
        <w:t>（境）费支出较预算持平；较上年持平。</w:t>
      </w:r>
    </w:p>
    <w:p>
      <w:pPr>
        <w:spacing w:before="58" w:line="209" w:lineRule="auto"/>
        <w:ind w:left="583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9A9A9"/>
          <w:spacing w:val="10"/>
          <w:sz w:val="30"/>
          <w:szCs w:val="30"/>
        </w:rPr>
        <w:t xml:space="preserve">2.公务用车购置及运行维护费支出情况。  </w:t>
      </w:r>
      <w:r>
        <w:rPr>
          <w:rFonts w:ascii="仿宋" w:hAnsi="仿宋" w:eastAsia="仿宋" w:cs="仿宋"/>
          <w:spacing w:val="10"/>
          <w:sz w:val="30"/>
          <w:szCs w:val="30"/>
        </w:rPr>
        <w:t>本</w:t>
      </w:r>
      <w:r>
        <w:rPr>
          <w:rFonts w:ascii="仿宋" w:hAnsi="仿宋" w:eastAsia="仿宋" w:cs="仿宋"/>
          <w:spacing w:val="9"/>
          <w:sz w:val="30"/>
          <w:szCs w:val="30"/>
        </w:rPr>
        <w:t>部门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2021 年度</w:t>
      </w:r>
    </w:p>
    <w:p>
      <w:pPr>
        <w:spacing w:line="209" w:lineRule="auto"/>
        <w:rPr>
          <w:rFonts w:ascii="仿宋" w:hAnsi="仿宋" w:eastAsia="仿宋" w:cs="仿宋"/>
          <w:sz w:val="30"/>
          <w:szCs w:val="30"/>
        </w:rPr>
        <w:sectPr>
          <w:footerReference r:id="rId26" w:type="default"/>
          <w:pgSz w:w="11906" w:h="16840"/>
          <w:pgMar w:top="400" w:right="1398" w:bottom="930" w:left="1569" w:header="0" w:footer="726" w:gutter="0"/>
          <w:cols w:space="720" w:num="1"/>
        </w:sectPr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spacing w:before="98" w:line="347" w:lineRule="auto"/>
        <w:ind w:firstLine="1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公务用车购置及运行维护费预算为 2.70 万元，支出决算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2.70 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元，完成预算的 100.0%。较预算持平；较上年减少 15.46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降低 85.1%,主要是本年无新购公务用车且全年认真贯彻落实中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央八项规定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精神和厉行节约要求，从严控制“三公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”经费开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支，全年实际支出较预算和去年有所节约。其中：</w:t>
      </w:r>
    </w:p>
    <w:p>
      <w:pPr>
        <w:spacing w:before="57" w:line="332" w:lineRule="auto"/>
        <w:ind w:right="88" w:firstLine="615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5B5B5"/>
          <w:spacing w:val="15"/>
          <w:sz w:val="30"/>
          <w:szCs w:val="30"/>
        </w:rPr>
        <w:t xml:space="preserve">公务用车购置费支出0.00万元:  </w:t>
      </w:r>
      <w:r>
        <w:rPr>
          <w:rFonts w:ascii="仿宋" w:hAnsi="仿宋" w:eastAsia="仿宋" w:cs="仿宋"/>
          <w:spacing w:val="15"/>
          <w:sz w:val="30"/>
          <w:szCs w:val="30"/>
        </w:rPr>
        <w:t>本部门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20</w:t>
      </w:r>
      <w:r>
        <w:rPr>
          <w:rFonts w:ascii="仿宋" w:hAnsi="仿宋" w:eastAsia="仿宋" w:cs="仿宋"/>
          <w:spacing w:val="14"/>
          <w:sz w:val="30"/>
          <w:szCs w:val="30"/>
        </w:rPr>
        <w:t>21 年度公务用车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购置量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辆，发生“公务用车购置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”经费支出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0.00 万元。公务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用车购置费支出较预算持平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；较上年减少</w:t>
      </w:r>
      <w:r>
        <w:rPr>
          <w:rFonts w:ascii="仿宋" w:hAnsi="仿宋" w:eastAsia="仿宋" w:cs="仿宋"/>
          <w:spacing w:val="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12.00 万元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，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降低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100.0%,主要是全年认真贯彻落实中央八项规定精神和厉行</w:t>
      </w:r>
      <w:r>
        <w:rPr>
          <w:rFonts w:ascii="仿宋" w:hAnsi="仿宋" w:eastAsia="仿宋" w:cs="仿宋"/>
          <w:spacing w:val="10"/>
          <w:sz w:val="30"/>
          <w:szCs w:val="30"/>
        </w:rPr>
        <w:t>节约要求，从严控制“三公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”经费开支，全年实际支出较预算和</w:t>
      </w:r>
      <w:bookmarkStart w:id="0" w:name="_GoBack"/>
      <w:bookmarkEnd w:id="0"/>
      <w:r>
        <w:rPr>
          <w:rFonts w:ascii="仿宋" w:hAnsi="仿宋" w:eastAsia="仿宋" w:cs="仿宋"/>
          <w:spacing w:val="9"/>
          <w:sz w:val="30"/>
          <w:szCs w:val="30"/>
        </w:rPr>
        <w:t>去年有所节约。</w:t>
      </w:r>
    </w:p>
    <w:p>
      <w:pPr>
        <w:spacing w:before="57" w:line="328" w:lineRule="auto"/>
        <w:ind w:left="1" w:right="88" w:firstLine="613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9F9F9F"/>
          <w:spacing w:val="15"/>
          <w:sz w:val="30"/>
          <w:szCs w:val="30"/>
        </w:rPr>
        <w:t xml:space="preserve">公务用车运行维护费支出2.70万元: </w:t>
      </w:r>
      <w:r>
        <w:rPr>
          <w:rFonts w:ascii="微软雅黑" w:hAnsi="微软雅黑" w:eastAsia="微软雅黑" w:cs="微软雅黑"/>
          <w:color w:val="9F9F9F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本部门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2021 年度单位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公务用车保有量 2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辆。公车运行维护费支出较预算持平；较上年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减少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3.46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万元，降低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56.2%，主要是全年认真贯彻落实</w:t>
      </w:r>
      <w:r>
        <w:rPr>
          <w:rFonts w:ascii="仿宋" w:hAnsi="仿宋" w:eastAsia="仿宋" w:cs="仿宋"/>
          <w:spacing w:val="5"/>
          <w:sz w:val="30"/>
          <w:szCs w:val="30"/>
        </w:rPr>
        <w:t>中央八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项规定精神和厉行节约要求，从严控制“三公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”经费</w:t>
      </w:r>
      <w:r>
        <w:rPr>
          <w:rFonts w:ascii="仿宋" w:hAnsi="仿宋" w:eastAsia="仿宋" w:cs="仿宋"/>
          <w:spacing w:val="7"/>
          <w:sz w:val="30"/>
          <w:szCs w:val="30"/>
        </w:rPr>
        <w:t>开支，全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年实际支出较预算和去年有所节约。</w:t>
      </w:r>
    </w:p>
    <w:p>
      <w:pPr>
        <w:spacing w:before="61" w:line="320" w:lineRule="auto"/>
        <w:ind w:left="1" w:right="100" w:firstLine="582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989898"/>
          <w:spacing w:val="9"/>
          <w:sz w:val="30"/>
          <w:szCs w:val="30"/>
        </w:rPr>
        <w:t xml:space="preserve">3.公务接待费支出情况。  </w:t>
      </w:r>
      <w:r>
        <w:rPr>
          <w:rFonts w:ascii="仿宋" w:hAnsi="仿宋" w:eastAsia="仿宋" w:cs="仿宋"/>
          <w:spacing w:val="9"/>
          <w:sz w:val="30"/>
          <w:szCs w:val="30"/>
        </w:rPr>
        <w:t>本部门</w:t>
      </w:r>
      <w:r>
        <w:rPr>
          <w:rFonts w:ascii="仿宋" w:hAnsi="仿宋" w:eastAsia="仿宋" w:cs="仿宋"/>
          <w:spacing w:val="-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2021 年度公务接待费支出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预算为 2.63 万元，支出决算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2.63 万元，完成预算的 100.0%。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本年度共发生公务接待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86 批次、529 人次。公务接待费支出较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预算持平。较上年持平。</w:t>
      </w:r>
    </w:p>
    <w:p>
      <w:pPr>
        <w:spacing w:before="67" w:line="227" w:lineRule="auto"/>
        <w:ind w:left="642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4"/>
          <w:sz w:val="30"/>
          <w:szCs w:val="30"/>
        </w:rPr>
        <w:t>六、预算绩效情况说明</w:t>
      </w:r>
    </w:p>
    <w:p>
      <w:pPr>
        <w:spacing w:before="190" w:line="354" w:lineRule="exact"/>
        <w:ind w:left="75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ADADAD"/>
          <w:spacing w:val="-8"/>
          <w:w w:val="99"/>
          <w:position w:val="-1"/>
          <w:sz w:val="35"/>
          <w:szCs w:val="35"/>
        </w:rPr>
        <w:t>(一)预算绩效管理工作开展情况</w:t>
      </w:r>
    </w:p>
    <w:p>
      <w:pPr>
        <w:spacing w:before="247" w:line="355" w:lineRule="auto"/>
        <w:ind w:left="2" w:right="98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根据预算绩效管理要求，本部门组织对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2021 年度一般公共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预算项目支出全面开展绩效自评，其中，一级项目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24 个，共涉</w:t>
      </w:r>
    </w:p>
    <w:p>
      <w:pPr>
        <w:spacing w:line="355" w:lineRule="auto"/>
        <w:rPr>
          <w:rFonts w:ascii="仿宋" w:hAnsi="仿宋" w:eastAsia="仿宋" w:cs="仿宋"/>
          <w:sz w:val="30"/>
          <w:szCs w:val="30"/>
        </w:rPr>
        <w:sectPr>
          <w:footerReference r:id="rId27" w:type="default"/>
          <w:pgSz w:w="11906" w:h="16840"/>
          <w:pgMar w:top="400" w:right="1444" w:bottom="930" w:left="1573" w:header="0" w:footer="726" w:gutter="0"/>
          <w:cols w:space="720" w:num="1"/>
        </w:sectPr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spacing w:before="98" w:line="228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及资金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915.35 万元， 占一般公共预算项目支出总额的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81.06%。</w:t>
      </w:r>
    </w:p>
    <w:p>
      <w:pPr>
        <w:spacing w:before="223" w:line="348" w:lineRule="auto"/>
        <w:ind w:left="4" w:right="102"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组织对“村干部基础职务补贴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”“村党组织活动经费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”等一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级项目开展了重点评价，涉及一般公共预算支出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369.43 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政从评价情况来看，其中村干部基础职务补贴项目评价得分 </w:t>
      </w:r>
      <w:r>
        <w:rPr>
          <w:rFonts w:ascii="仿宋" w:hAnsi="仿宋" w:eastAsia="仿宋" w:cs="仿宋"/>
          <w:spacing w:val="16"/>
          <w:sz w:val="30"/>
          <w:szCs w:val="30"/>
        </w:rPr>
        <w:t>95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分</w:t>
      </w:r>
      <w:r>
        <w:rPr>
          <w:rFonts w:ascii="仿宋" w:hAnsi="仿宋" w:eastAsia="仿宋" w:cs="仿宋"/>
          <w:spacing w:val="1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，评价结果为优秀，村级办公经费项目评价得分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95 分</w:t>
      </w:r>
      <w:r>
        <w:rPr>
          <w:rFonts w:ascii="仿宋" w:hAnsi="仿宋" w:eastAsia="仿宋" w:cs="仿宋"/>
          <w:spacing w:val="10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，评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价结果为优秀。</w:t>
      </w:r>
    </w:p>
    <w:p>
      <w:pPr>
        <w:spacing w:before="31" w:line="354" w:lineRule="exact"/>
        <w:ind w:left="86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C8C8C8"/>
          <w:spacing w:val="-11"/>
          <w:position w:val="-1"/>
          <w:sz w:val="35"/>
          <w:szCs w:val="35"/>
        </w:rPr>
        <w:t>(二)部门决算中项目绩效自评结果</w:t>
      </w:r>
    </w:p>
    <w:p>
      <w:pPr>
        <w:spacing w:before="221" w:line="355" w:lineRule="auto"/>
        <w:ind w:left="9" w:right="122" w:firstLine="63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5"/>
          <w:sz w:val="30"/>
          <w:szCs w:val="30"/>
        </w:rPr>
        <w:t>本部门在今年部门决算公开中反映村党组织活动经费项目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及村级办公经费项目等</w:t>
      </w:r>
      <w:r>
        <w:rPr>
          <w:rFonts w:ascii="仿宋" w:hAnsi="仿宋" w:eastAsia="仿宋" w:cs="仿宋"/>
          <w:spacing w:val="-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24 个项目绩效自评结果。</w:t>
      </w:r>
    </w:p>
    <w:p>
      <w:pPr>
        <w:spacing w:before="143" w:line="352" w:lineRule="auto"/>
        <w:ind w:left="8" w:hanging="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村党组织活动经费项目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自评综述：根据年初设定的</w:t>
      </w:r>
      <w:r>
        <w:rPr>
          <w:rFonts w:ascii="仿宋" w:hAnsi="仿宋" w:eastAsia="仿宋" w:cs="仿宋"/>
          <w:spacing w:val="14"/>
          <w:sz w:val="30"/>
          <w:szCs w:val="30"/>
        </w:rPr>
        <w:t>绩效目标，村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党组织活动经费项目绩效自评得分为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95 分（绩效自评表附后）。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全年预算数为 30.34 万元，执行数为 30.34 万元，完成预算的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100%。项目绩效目标完成情况：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一是绩效目标设立不够明确、细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化和量化；二是涉及人员众多，活</w:t>
      </w:r>
      <w:r>
        <w:rPr>
          <w:rFonts w:ascii="仿宋" w:hAnsi="仿宋" w:eastAsia="仿宋" w:cs="仿宋"/>
          <w:spacing w:val="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动组织与协调工作难度较大。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下一步改进措施：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一是预算财务分</w:t>
      </w:r>
      <w:r>
        <w:rPr>
          <w:rFonts w:ascii="仿宋" w:hAnsi="仿宋" w:eastAsia="仿宋" w:cs="仿宋"/>
          <w:spacing w:val="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析常态化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，定</w:t>
      </w:r>
      <w:r>
        <w:rPr>
          <w:rFonts w:ascii="仿宋" w:hAnsi="仿宋" w:eastAsia="仿宋" w:cs="仿宋"/>
          <w:spacing w:val="15"/>
          <w:sz w:val="30"/>
          <w:szCs w:val="30"/>
        </w:rPr>
        <w:t>期做好预算支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出财务分析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，做好部门整体支出预算</w:t>
      </w:r>
      <w:r>
        <w:rPr>
          <w:rFonts w:ascii="仿宋" w:hAnsi="仿宋" w:eastAsia="仿宋" w:cs="仿宋"/>
          <w:spacing w:val="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评价工作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；要进一</w:t>
      </w:r>
      <w:r>
        <w:rPr>
          <w:rFonts w:ascii="仿宋" w:hAnsi="仿宋" w:eastAsia="仿宋" w:cs="仿宋"/>
          <w:spacing w:val="15"/>
          <w:sz w:val="30"/>
          <w:szCs w:val="30"/>
        </w:rPr>
        <w:t>步加强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预算管理意识，严格按照预算编制的相</w:t>
      </w:r>
      <w:r>
        <w:rPr>
          <w:rFonts w:ascii="仿宋" w:hAnsi="仿宋" w:eastAsia="仿宋" w:cs="仿宋"/>
          <w:spacing w:val="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关制度和要求，本着“勤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俭节约、保障运转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”的原则进行预算的</w:t>
      </w:r>
      <w:r>
        <w:rPr>
          <w:rFonts w:ascii="仿宋" w:hAnsi="仿宋" w:eastAsia="仿宋" w:cs="仿宋"/>
          <w:spacing w:val="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编制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，进一步</w:t>
      </w:r>
      <w:r>
        <w:rPr>
          <w:rFonts w:ascii="仿宋" w:hAnsi="仿宋" w:eastAsia="仿宋" w:cs="仿宋"/>
          <w:spacing w:val="8"/>
          <w:sz w:val="30"/>
          <w:szCs w:val="30"/>
        </w:rPr>
        <w:t>提高预算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编制的完整性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、科学性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、合理性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；二是加</w:t>
      </w:r>
      <w:r>
        <w:rPr>
          <w:rFonts w:ascii="仿宋" w:hAnsi="仿宋" w:eastAsia="仿宋" w:cs="仿宋"/>
          <w:spacing w:val="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强业务培训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，提高评</w:t>
      </w:r>
    </w:p>
    <w:p>
      <w:pPr>
        <w:spacing w:before="43" w:line="353" w:lineRule="auto"/>
        <w:ind w:left="11" w:right="2892" w:hanging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价水平，建议财政部门组织开展部门之间的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经验交流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，切实推进绩效评价工作开展。</w:t>
      </w:r>
    </w:p>
    <w:p>
      <w:pPr>
        <w:spacing w:line="353" w:lineRule="auto"/>
        <w:rPr>
          <w:rFonts w:ascii="仿宋" w:hAnsi="仿宋" w:eastAsia="仿宋" w:cs="仿宋"/>
          <w:sz w:val="30"/>
          <w:szCs w:val="30"/>
        </w:rPr>
        <w:sectPr>
          <w:footerReference r:id="rId28" w:type="default"/>
          <w:pgSz w:w="11906" w:h="16840"/>
          <w:pgMar w:top="400" w:right="1432" w:bottom="934" w:left="1569" w:header="0" w:footer="680" w:gutter="0"/>
          <w:cols w:space="720" w:num="1"/>
        </w:sectPr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line="11369" w:lineRule="exact"/>
        <w:ind w:firstLine="14"/>
      </w:pPr>
      <w:r>
        <w:rPr>
          <w:position w:val="-227"/>
        </w:rPr>
        <w:drawing>
          <wp:inline distT="0" distB="0" distL="0" distR="0">
            <wp:extent cx="5615940" cy="72186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2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0" w:line="352" w:lineRule="exact"/>
        <w:ind w:left="59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B8B8B8"/>
          <w:spacing w:val="-10"/>
          <w:position w:val="-1"/>
          <w:sz w:val="35"/>
          <w:szCs w:val="35"/>
        </w:rPr>
        <w:t>(三)部门评价项目绩效评价结果</w:t>
      </w:r>
    </w:p>
    <w:p>
      <w:pPr>
        <w:spacing w:before="263" w:line="344" w:lineRule="auto"/>
        <w:ind w:firstLine="68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2021</w:t>
      </w:r>
      <w:r>
        <w:rPr>
          <w:rFonts w:ascii="仿宋" w:hAnsi="仿宋" w:eastAsia="仿宋" w:cs="仿宋"/>
          <w:spacing w:val="7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年度本部门绩效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自评项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目共</w:t>
      </w:r>
      <w:r>
        <w:rPr>
          <w:rFonts w:ascii="仿宋" w:hAnsi="仿宋" w:eastAsia="仿宋" w:cs="仿宋"/>
          <w:spacing w:val="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24</w:t>
      </w:r>
      <w:r>
        <w:rPr>
          <w:rFonts w:ascii="仿宋" w:hAnsi="仿宋" w:eastAsia="仿宋" w:cs="仿宋"/>
          <w:spacing w:val="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个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，其中评价等级为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“优</w:t>
      </w:r>
      <w:r>
        <w:rPr>
          <w:rFonts w:ascii="仿宋" w:hAnsi="仿宋" w:eastAsia="仿宋" w:cs="仿宋"/>
          <w:spacing w:val="-5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”项目 22 个，“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良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”项目</w:t>
      </w:r>
      <w:r>
        <w:rPr>
          <w:rFonts w:ascii="仿宋" w:hAnsi="仿宋" w:eastAsia="仿宋" w:cs="仿宋"/>
          <w:spacing w:val="6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1</w:t>
      </w:r>
      <w:r>
        <w:rPr>
          <w:rFonts w:ascii="仿宋" w:hAnsi="仿宋" w:eastAsia="仿宋" w:cs="仿宋"/>
          <w:spacing w:val="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个，“</w:t>
      </w:r>
      <w:r>
        <w:rPr>
          <w:rFonts w:ascii="仿宋" w:hAnsi="仿宋" w:eastAsia="仿宋" w:cs="仿宋"/>
          <w:spacing w:val="-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中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”项目</w:t>
      </w:r>
      <w:r>
        <w:rPr>
          <w:rFonts w:ascii="仿宋" w:hAnsi="仿宋" w:eastAsia="仿宋" w:cs="仿宋"/>
          <w:spacing w:val="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0</w:t>
      </w:r>
      <w:r>
        <w:rPr>
          <w:rFonts w:ascii="仿宋" w:hAnsi="仿宋" w:eastAsia="仿宋" w:cs="仿宋"/>
          <w:spacing w:val="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个，“差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”</w:t>
      </w:r>
      <w:r>
        <w:rPr>
          <w:rFonts w:ascii="仿宋" w:hAnsi="仿宋" w:eastAsia="仿宋" w:cs="仿宋"/>
          <w:spacing w:val="-9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项</w:t>
      </w:r>
      <w:r>
        <w:rPr>
          <w:rFonts w:ascii="仿宋" w:hAnsi="仿宋" w:eastAsia="仿宋" w:cs="仿宋"/>
          <w:sz w:val="30"/>
          <w:szCs w:val="30"/>
        </w:rPr>
        <w:t xml:space="preserve"> 目</w:t>
      </w:r>
      <w:r>
        <w:rPr>
          <w:rFonts w:ascii="仿宋" w:hAnsi="仿宋" w:eastAsia="仿宋" w:cs="仿宋"/>
          <w:spacing w:val="92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1 个，评优率为 91.67%。其中，一般公共预算一级项目 24</w:t>
      </w:r>
      <w:r>
        <w:rPr>
          <w:rFonts w:ascii="仿宋" w:hAnsi="仿宋" w:eastAsia="仿宋" w:cs="仿宋"/>
          <w:spacing w:val="44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个， </w:t>
      </w:r>
      <w:r>
        <w:rPr>
          <w:rFonts w:ascii="仿宋" w:hAnsi="仿宋" w:eastAsia="仿宋" w:cs="仿宋"/>
          <w:spacing w:val="11"/>
          <w:sz w:val="30"/>
          <w:szCs w:val="30"/>
        </w:rPr>
        <w:t>二级项目 0 个，共涉及资金</w:t>
      </w:r>
      <w:r>
        <w:rPr>
          <w:rFonts w:ascii="仿宋" w:hAnsi="仿宋" w:eastAsia="仿宋" w:cs="仿宋"/>
          <w:spacing w:val="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875.24</w:t>
      </w:r>
      <w:r>
        <w:rPr>
          <w:rFonts w:ascii="仿宋" w:hAnsi="仿宋" w:eastAsia="仿宋" w:cs="仿宋"/>
          <w:spacing w:val="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万元， 占</w:t>
      </w:r>
      <w:r>
        <w:rPr>
          <w:rFonts w:ascii="仿宋" w:hAnsi="仿宋" w:eastAsia="仿宋" w:cs="仿宋"/>
          <w:spacing w:val="10"/>
          <w:sz w:val="30"/>
          <w:szCs w:val="30"/>
        </w:rPr>
        <w:t>一般公共预算项</w:t>
      </w:r>
    </w:p>
    <w:p>
      <w:pPr>
        <w:spacing w:line="344" w:lineRule="auto"/>
        <w:rPr>
          <w:rFonts w:ascii="仿宋" w:hAnsi="仿宋" w:eastAsia="仿宋" w:cs="仿宋"/>
          <w:sz w:val="30"/>
          <w:szCs w:val="30"/>
        </w:rPr>
        <w:sectPr>
          <w:footerReference r:id="rId29" w:type="default"/>
          <w:pgSz w:w="11906" w:h="16840"/>
          <w:pgMar w:top="400" w:right="1251" w:bottom="930" w:left="1516" w:header="0" w:footer="726" w:gutter="0"/>
          <w:cols w:space="720" w:num="1"/>
        </w:sectPr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spacing w:before="97" w:line="348" w:lineRule="auto"/>
        <w:ind w:left="14" w:firstLine="1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目支出总额的</w:t>
      </w:r>
      <w:r>
        <w:rPr>
          <w:rFonts w:ascii="仿宋" w:hAnsi="仿宋" w:eastAsia="仿宋" w:cs="仿宋"/>
          <w:spacing w:val="10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100%;政府性基金预算一级项目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 个，二级项目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个，共涉及资金 0 万元，</w:t>
      </w:r>
      <w:r>
        <w:rPr>
          <w:rFonts w:ascii="仿宋" w:hAnsi="仿宋" w:eastAsia="仿宋" w:cs="仿宋"/>
          <w:spacing w:val="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占政府性基金预算项目支出总额</w:t>
      </w:r>
      <w:r>
        <w:rPr>
          <w:rFonts w:ascii="仿宋" w:hAnsi="仿宋" w:eastAsia="仿宋" w:cs="仿宋"/>
          <w:spacing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0%；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社保</w:t>
      </w:r>
      <w:r>
        <w:rPr>
          <w:rFonts w:ascii="仿宋" w:hAnsi="仿宋" w:eastAsia="仿宋" w:cs="仿宋"/>
          <w:spacing w:val="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基金预算一级项目 0 个，二级项目</w:t>
      </w:r>
      <w:r>
        <w:rPr>
          <w:rFonts w:ascii="仿宋" w:hAnsi="仿宋" w:eastAsia="仿宋" w:cs="仿宋"/>
          <w:spacing w:val="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0</w:t>
      </w:r>
      <w:r>
        <w:rPr>
          <w:rFonts w:ascii="仿宋" w:hAnsi="仿宋" w:eastAsia="仿宋" w:cs="仿宋"/>
          <w:spacing w:val="6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个，共涉及</w:t>
      </w:r>
      <w:r>
        <w:rPr>
          <w:rFonts w:ascii="仿宋" w:hAnsi="仿宋" w:eastAsia="仿宋" w:cs="仿宋"/>
          <w:spacing w:val="13"/>
          <w:sz w:val="30"/>
          <w:szCs w:val="30"/>
        </w:rPr>
        <w:t>资金</w:t>
      </w:r>
      <w:r>
        <w:rPr>
          <w:rFonts w:ascii="仿宋" w:hAnsi="仿宋" w:eastAsia="仿宋" w:cs="仿宋"/>
          <w:spacing w:val="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万元， 占</w:t>
      </w:r>
      <w:r>
        <w:rPr>
          <w:rFonts w:ascii="仿宋" w:hAnsi="仿宋" w:eastAsia="仿宋" w:cs="仿宋"/>
          <w:spacing w:val="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社保基金预算项目支出总额 0%；  国有资本经营预算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一级项目 0 个，二级项目</w:t>
      </w:r>
      <w:r>
        <w:rPr>
          <w:rFonts w:ascii="仿宋" w:hAnsi="仿宋" w:eastAsia="仿宋" w:cs="仿宋"/>
          <w:spacing w:val="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pacing w:val="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个，共涉及资金</w:t>
      </w:r>
      <w:r>
        <w:rPr>
          <w:rFonts w:ascii="仿宋" w:hAnsi="仿宋" w:eastAsia="仿宋" w:cs="仿宋"/>
          <w:spacing w:val="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pacing w:val="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</w:t>
      </w:r>
      <w:r>
        <w:rPr>
          <w:rFonts w:ascii="仿宋" w:hAnsi="仿宋" w:eastAsia="仿宋" w:cs="仿宋"/>
          <w:spacing w:val="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占国有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资本经营预算项  目支出总额 0%。</w:t>
      </w:r>
    </w:p>
    <w:p>
      <w:pPr>
        <w:spacing w:before="56" w:line="228" w:lineRule="auto"/>
        <w:ind w:left="73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七、机关运行经费情况</w:t>
      </w:r>
    </w:p>
    <w:p>
      <w:pPr>
        <w:spacing w:before="223" w:line="341" w:lineRule="auto"/>
        <w:ind w:left="14" w:right="87" w:firstLine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本部门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2021 年度机关运行经费支出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71.01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万元，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比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2020 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度增加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28.45 万元，增长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66.8%。主要原因是新增事业人员交通</w:t>
      </w:r>
      <w:r>
        <w:rPr>
          <w:rFonts w:ascii="仿宋" w:hAnsi="仿宋" w:eastAsia="仿宋" w:cs="仿宋"/>
          <w:sz w:val="30"/>
          <w:szCs w:val="30"/>
        </w:rPr>
        <w:t xml:space="preserve"> 补贴。</w:t>
      </w:r>
    </w:p>
    <w:p>
      <w:pPr>
        <w:spacing w:before="60" w:line="229" w:lineRule="auto"/>
        <w:ind w:left="63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八、政府采购情况</w:t>
      </w:r>
    </w:p>
    <w:p>
      <w:pPr>
        <w:spacing w:before="218" w:line="348" w:lineRule="auto"/>
        <w:ind w:left="13" w:right="89" w:firstLine="64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本部门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2021 年度政府采购支出总额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0.00 万元，从采购类型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来看，政府采购货物支出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0.00 万元、政府采购工程支出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0.00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元、政府采购服务支出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0.00 万元。授予中小企业合</w:t>
      </w:r>
      <w:r>
        <w:rPr>
          <w:rFonts w:ascii="仿宋" w:hAnsi="仿宋" w:eastAsia="仿宋" w:cs="仿宋"/>
          <w:spacing w:val="9"/>
          <w:sz w:val="30"/>
          <w:szCs w:val="30"/>
        </w:rPr>
        <w:t>同金额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0.00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万元， 占政府采购支出总额的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0.0%，其中授予小微企业合同金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额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0.00 万元， 占政府采购支出总额的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0.0%。</w:t>
      </w:r>
    </w:p>
    <w:p>
      <w:pPr>
        <w:spacing w:before="51" w:line="228" w:lineRule="auto"/>
        <w:ind w:left="65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4"/>
          <w:sz w:val="30"/>
          <w:szCs w:val="30"/>
        </w:rPr>
        <w:t>九、国有资产占用情况</w:t>
      </w:r>
    </w:p>
    <w:p>
      <w:pPr>
        <w:spacing w:before="224" w:line="348" w:lineRule="auto"/>
        <w:ind w:left="14" w:right="87"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截至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2021 年 12 月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31</w:t>
      </w:r>
      <w:r>
        <w:rPr>
          <w:rFonts w:ascii="仿宋" w:hAnsi="仿宋" w:eastAsia="仿宋" w:cs="仿宋"/>
          <w:spacing w:val="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日，本部门共有车辆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辆，较上年持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平。其中，副部（省）级及以上领导用车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辆，主要领导干部用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车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辆，机要通信用车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0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辆，应急保障用车 1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辆，执法执勤用车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1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辆，特种专业技术用车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辆，离退休干部用车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辆，其他用车</w:t>
      </w:r>
    </w:p>
    <w:p>
      <w:pPr>
        <w:spacing w:before="38" w:line="228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辆。</w:t>
      </w:r>
    </w:p>
    <w:p>
      <w:pPr>
        <w:spacing w:before="188" w:line="353" w:lineRule="auto"/>
        <w:ind w:left="17" w:right="65" w:firstLine="65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单位价值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50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万元以上通用设备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0</w:t>
      </w:r>
      <w:r>
        <w:rPr>
          <w:rFonts w:ascii="仿宋" w:hAnsi="仿宋" w:eastAsia="仿宋" w:cs="仿宋"/>
          <w:spacing w:val="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台（套</w:t>
      </w:r>
      <w:r>
        <w:rPr>
          <w:rFonts w:ascii="仿宋" w:hAnsi="仿宋" w:eastAsia="仿宋" w:cs="仿宋"/>
          <w:spacing w:val="-43"/>
          <w:sz w:val="30"/>
          <w:szCs w:val="30"/>
        </w:rPr>
        <w:t>），</w:t>
      </w:r>
      <w:r>
        <w:rPr>
          <w:rFonts w:ascii="仿宋" w:hAnsi="仿宋" w:eastAsia="仿宋" w:cs="仿宋"/>
          <w:spacing w:val="2"/>
          <w:sz w:val="30"/>
          <w:szCs w:val="30"/>
        </w:rPr>
        <w:t>较上年持平；单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位价值 100 万元以上专用设备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0</w:t>
      </w:r>
      <w:r>
        <w:rPr>
          <w:rFonts w:ascii="仿宋" w:hAnsi="仿宋" w:eastAsia="仿宋" w:cs="仿宋"/>
          <w:spacing w:val="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台（套）,较上年持平。</w:t>
      </w:r>
    </w:p>
    <w:p>
      <w:pPr>
        <w:spacing w:line="353" w:lineRule="auto"/>
        <w:rPr>
          <w:rFonts w:ascii="仿宋" w:hAnsi="仿宋" w:eastAsia="仿宋" w:cs="仿宋"/>
          <w:sz w:val="30"/>
          <w:szCs w:val="30"/>
        </w:rPr>
        <w:sectPr>
          <w:footerReference r:id="rId30" w:type="default"/>
          <w:pgSz w:w="11906" w:h="16840"/>
          <w:pgMar w:top="400" w:right="1445" w:bottom="934" w:left="1556" w:header="0" w:footer="679" w:gutter="0"/>
          <w:cols w:space="720" w:num="1"/>
        </w:sectPr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98" w:line="227" w:lineRule="auto"/>
        <w:ind w:left="627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15"/>
          <w:sz w:val="30"/>
          <w:szCs w:val="30"/>
        </w:rPr>
        <w:t>十、其他需要说明的情况</w:t>
      </w:r>
    </w:p>
    <w:p>
      <w:pPr>
        <w:spacing w:before="224" w:line="338" w:lineRule="auto"/>
        <w:ind w:left="4" w:right="7" w:firstLine="6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1.本部门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2021 年度政府性基金预算财政拨</w:t>
      </w:r>
      <w:r>
        <w:rPr>
          <w:rFonts w:ascii="仿宋" w:hAnsi="仿宋" w:eastAsia="仿宋" w:cs="仿宋"/>
          <w:spacing w:val="11"/>
          <w:sz w:val="30"/>
          <w:szCs w:val="30"/>
        </w:rPr>
        <w:t>款无收支及结转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结余情况, 故公开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08 表表以空表列示;</w:t>
      </w:r>
      <w:r>
        <w:rPr>
          <w:rFonts w:ascii="仿宋" w:hAnsi="仿宋" w:eastAsia="仿宋" w:cs="仿宋"/>
          <w:spacing w:val="1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国有资本经营预算经费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无收支及结转结余情况, 故公开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09 表以空表列示。</w:t>
      </w:r>
    </w:p>
    <w:p>
      <w:pPr>
        <w:spacing w:before="90" w:line="341" w:lineRule="auto"/>
        <w:ind w:firstLine="62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2. 由于决算公开表格中金额数值应当保留两位</w:t>
      </w:r>
      <w:r>
        <w:rPr>
          <w:rFonts w:ascii="仿宋" w:hAnsi="仿宋" w:eastAsia="仿宋" w:cs="仿宋"/>
          <w:spacing w:val="7"/>
          <w:sz w:val="30"/>
          <w:szCs w:val="30"/>
        </w:rPr>
        <w:t>小数，公开数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据为四舍五入计算结果，个别数据合计项与分项之和存在小</w:t>
      </w:r>
      <w:r>
        <w:rPr>
          <w:rFonts w:ascii="仿宋" w:hAnsi="仿宋" w:eastAsia="仿宋" w:cs="仿宋"/>
          <w:spacing w:val="13"/>
          <w:sz w:val="30"/>
          <w:szCs w:val="30"/>
        </w:rPr>
        <w:t>数点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后差额，特此说明。</w:t>
      </w:r>
    </w:p>
    <w:p>
      <w:pPr>
        <w:spacing w:line="341" w:lineRule="auto"/>
        <w:rPr>
          <w:rFonts w:ascii="仿宋" w:hAnsi="仿宋" w:eastAsia="仿宋" w:cs="仿宋"/>
          <w:sz w:val="30"/>
          <w:szCs w:val="30"/>
        </w:rPr>
        <w:sectPr>
          <w:footerReference r:id="rId31" w:type="default"/>
          <w:pgSz w:w="11906" w:h="16840"/>
          <w:pgMar w:top="400" w:right="1535" w:bottom="934" w:left="1574" w:header="0" w:footer="68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198"/>
        <w:ind w:left="446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color w:val="A5A5A5"/>
          <w:position w:val="-34"/>
          <w:sz w:val="46"/>
          <w:szCs w:val="46"/>
        </w:rPr>
        <w:drawing>
          <wp:inline distT="0" distB="0" distL="0" distR="0">
            <wp:extent cx="640080" cy="6400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A5A5A5"/>
          <w:spacing w:val="50"/>
          <w:sz w:val="46"/>
          <w:szCs w:val="46"/>
        </w:rPr>
        <w:t xml:space="preserve">  </w:t>
      </w:r>
      <w:r>
        <w:rPr>
          <w:rFonts w:ascii="微软雅黑" w:hAnsi="微软雅黑" w:eastAsia="微软雅黑" w:cs="微软雅黑"/>
          <w:color w:val="A5A5A5"/>
          <w:spacing w:val="14"/>
          <w:sz w:val="46"/>
          <w:szCs w:val="46"/>
        </w:rPr>
        <w:t>第四部分相关名词解释</w:t>
      </w:r>
    </w:p>
    <w:p>
      <w:pPr>
        <w:rPr>
          <w:rFonts w:ascii="微软雅黑" w:hAnsi="微软雅黑" w:eastAsia="微软雅黑" w:cs="微软雅黑"/>
          <w:sz w:val="46"/>
          <w:szCs w:val="46"/>
        </w:rPr>
        <w:sectPr>
          <w:footerReference r:id="rId32" w:type="default"/>
          <w:pgSz w:w="11906" w:h="16840"/>
          <w:pgMar w:top="400" w:right="1785" w:bottom="934" w:left="1785" w:header="0" w:footer="680" w:gutter="0"/>
          <w:cols w:space="720" w:num="1"/>
        </w:sectPr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spacing w:before="128" w:line="286" w:lineRule="auto"/>
        <w:ind w:left="153" w:right="438" w:firstLine="66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8A8A8"/>
          <w:spacing w:val="19"/>
          <w:sz w:val="30"/>
          <w:szCs w:val="30"/>
        </w:rPr>
        <w:t>(一)</w:t>
      </w:r>
      <w:r>
        <w:rPr>
          <w:rFonts w:ascii="微软雅黑" w:hAnsi="微软雅黑" w:eastAsia="微软雅黑" w:cs="微软雅黑"/>
          <w:color w:val="A8A8A8"/>
          <w:spacing w:val="5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7D7D7D"/>
          <w:spacing w:val="19"/>
          <w:sz w:val="30"/>
          <w:szCs w:val="30"/>
        </w:rPr>
        <w:t xml:space="preserve">财政拨款收入:  </w:t>
      </w:r>
      <w:r>
        <w:rPr>
          <w:rFonts w:ascii="仿宋" w:hAnsi="仿宋" w:eastAsia="仿宋" w:cs="仿宋"/>
          <w:spacing w:val="19"/>
          <w:sz w:val="30"/>
          <w:szCs w:val="30"/>
        </w:rPr>
        <w:t>本年度从本级财政部门</w:t>
      </w:r>
      <w:r>
        <w:rPr>
          <w:rFonts w:ascii="仿宋" w:hAnsi="仿宋" w:eastAsia="仿宋" w:cs="仿宋"/>
          <w:spacing w:val="18"/>
          <w:sz w:val="30"/>
          <w:szCs w:val="30"/>
        </w:rPr>
        <w:t>取得的财政拨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款，包括一般公共预算财政拨款和政府性基金预算财政拨</w:t>
      </w:r>
      <w:r>
        <w:rPr>
          <w:rFonts w:ascii="仿宋" w:hAnsi="仿宋" w:eastAsia="仿宋" w:cs="仿宋"/>
          <w:spacing w:val="16"/>
          <w:sz w:val="30"/>
          <w:szCs w:val="30"/>
        </w:rPr>
        <w:t>款。</w:t>
      </w:r>
    </w:p>
    <w:p>
      <w:pPr>
        <w:spacing w:before="33" w:line="294" w:lineRule="auto"/>
        <w:ind w:left="57" w:right="438" w:firstLine="757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EAEAE"/>
          <w:spacing w:val="19"/>
          <w:sz w:val="30"/>
          <w:szCs w:val="30"/>
        </w:rPr>
        <w:t>(二)</w:t>
      </w:r>
      <w:r>
        <w:rPr>
          <w:rFonts w:ascii="微软雅黑" w:hAnsi="微软雅黑" w:eastAsia="微软雅黑" w:cs="微软雅黑"/>
          <w:color w:val="AEAEAE"/>
          <w:spacing w:val="5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5F5F5F"/>
          <w:spacing w:val="19"/>
          <w:sz w:val="30"/>
          <w:szCs w:val="30"/>
        </w:rPr>
        <w:t xml:space="preserve">事业收入:  </w:t>
      </w:r>
      <w:r>
        <w:rPr>
          <w:rFonts w:ascii="仿宋" w:hAnsi="仿宋" w:eastAsia="仿宋" w:cs="仿宋"/>
          <w:spacing w:val="19"/>
          <w:sz w:val="30"/>
          <w:szCs w:val="30"/>
        </w:rPr>
        <w:t>指事业单位开展专业业务活动</w:t>
      </w:r>
      <w:r>
        <w:rPr>
          <w:rFonts w:ascii="仿宋" w:hAnsi="仿宋" w:eastAsia="仿宋" w:cs="仿宋"/>
          <w:spacing w:val="18"/>
          <w:sz w:val="30"/>
          <w:szCs w:val="30"/>
        </w:rPr>
        <w:t>及辅助活动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所取得的收入。</w:t>
      </w:r>
    </w:p>
    <w:p>
      <w:pPr>
        <w:spacing w:before="6" w:line="296" w:lineRule="auto"/>
        <w:ind w:firstLine="817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BBBBB"/>
          <w:spacing w:val="24"/>
          <w:sz w:val="30"/>
          <w:szCs w:val="30"/>
        </w:rPr>
        <w:t>(三)</w:t>
      </w:r>
      <w:r>
        <w:rPr>
          <w:rFonts w:ascii="微软雅黑" w:hAnsi="微软雅黑" w:eastAsia="微软雅黑" w:cs="微软雅黑"/>
          <w:color w:val="BBBBBB"/>
          <w:spacing w:val="8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78787"/>
          <w:spacing w:val="24"/>
          <w:sz w:val="30"/>
          <w:szCs w:val="30"/>
        </w:rPr>
        <w:t xml:space="preserve">其他收入:  </w:t>
      </w:r>
      <w:r>
        <w:rPr>
          <w:rFonts w:ascii="仿宋" w:hAnsi="仿宋" w:eastAsia="仿宋" w:cs="仿宋"/>
          <w:spacing w:val="24"/>
          <w:sz w:val="30"/>
          <w:szCs w:val="30"/>
        </w:rPr>
        <w:t>指除上述“</w:t>
      </w:r>
      <w:r>
        <w:rPr>
          <w:rFonts w:ascii="仿宋" w:hAnsi="仿宋" w:eastAsia="仿宋" w:cs="仿宋"/>
          <w:spacing w:val="-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财政拨款收入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”“</w:t>
      </w:r>
      <w:r>
        <w:rPr>
          <w:rFonts w:ascii="仿宋" w:hAnsi="仿宋" w:eastAsia="仿宋" w:cs="仿宋"/>
          <w:spacing w:val="-1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事业收入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“经营收入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”等以外的收入。</w:t>
      </w:r>
    </w:p>
    <w:p>
      <w:pPr>
        <w:spacing w:before="54" w:line="314" w:lineRule="auto"/>
        <w:ind w:left="53" w:right="189" w:firstLine="760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6B6B6"/>
          <w:spacing w:val="14"/>
          <w:sz w:val="30"/>
          <w:szCs w:val="30"/>
        </w:rPr>
        <w:t xml:space="preserve">(四)用事业基金弥补收支差额:  </w:t>
      </w:r>
      <w:r>
        <w:rPr>
          <w:rFonts w:ascii="仿宋" w:hAnsi="仿宋" w:eastAsia="仿宋" w:cs="仿宋"/>
          <w:spacing w:val="14"/>
          <w:sz w:val="30"/>
          <w:szCs w:val="30"/>
        </w:rPr>
        <w:t>指事业单</w:t>
      </w:r>
      <w:r>
        <w:rPr>
          <w:rFonts w:ascii="仿宋" w:hAnsi="仿宋" w:eastAsia="仿宋" w:cs="仿宋"/>
          <w:spacing w:val="13"/>
          <w:sz w:val="30"/>
          <w:szCs w:val="30"/>
        </w:rPr>
        <w:t>位在用当年的</w:t>
      </w:r>
      <w:r>
        <w:rPr>
          <w:rFonts w:ascii="仿宋" w:hAnsi="仿宋" w:eastAsia="仿宋" w:cs="仿宋"/>
          <w:spacing w:val="13"/>
          <w:position w:val="8"/>
          <w:sz w:val="30"/>
          <w:szCs w:val="30"/>
        </w:rPr>
        <w:t>“</w:t>
      </w:r>
      <w:r>
        <w:rPr>
          <w:rFonts w:ascii="仿宋" w:hAnsi="仿宋" w:eastAsia="仿宋" w:cs="仿宋"/>
          <w:spacing w:val="13"/>
          <w:sz w:val="30"/>
          <w:szCs w:val="30"/>
        </w:rPr>
        <w:t>财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5"/>
          <w:sz w:val="30"/>
          <w:szCs w:val="30"/>
        </w:rPr>
        <w:t>政拨款收入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”“财政拨款结转和结余资金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”“事业收入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</w:t>
      </w:r>
      <w:r>
        <w:rPr>
          <w:rFonts w:ascii="仿宋" w:hAnsi="仿宋" w:eastAsia="仿宋" w:cs="仿宋"/>
          <w:spacing w:val="4"/>
          <w:sz w:val="30"/>
          <w:szCs w:val="30"/>
        </w:rPr>
        <w:t>“经营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8"/>
          <w:sz w:val="30"/>
          <w:szCs w:val="30"/>
        </w:rPr>
        <w:t>收入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”“其他收入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”不足以安排当年支出的情况下，使用</w:t>
      </w:r>
      <w:r>
        <w:rPr>
          <w:rFonts w:ascii="仿宋" w:hAnsi="仿宋" w:eastAsia="仿宋" w:cs="仿宋"/>
          <w:spacing w:val="7"/>
          <w:sz w:val="30"/>
          <w:szCs w:val="30"/>
        </w:rPr>
        <w:t>以前年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7"/>
          <w:sz w:val="30"/>
          <w:szCs w:val="30"/>
        </w:rPr>
        <w:t>度积累的事业基金（事业单位当年收支相抵后按国家规定提取、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1"/>
          <w:sz w:val="30"/>
          <w:szCs w:val="30"/>
        </w:rPr>
        <w:t>用于弥补以后年度收支差额的基金）弥补本年度收支缺口的资金。</w:t>
      </w:r>
    </w:p>
    <w:p>
      <w:pPr>
        <w:spacing w:before="69" w:line="293" w:lineRule="auto"/>
        <w:ind w:left="53" w:right="426" w:firstLine="76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D6D6D6"/>
          <w:spacing w:val="24"/>
          <w:sz w:val="30"/>
          <w:szCs w:val="30"/>
        </w:rPr>
        <w:t xml:space="preserve">(五)年初结转和结余:  </w:t>
      </w:r>
      <w:r>
        <w:rPr>
          <w:rFonts w:ascii="仿宋" w:hAnsi="仿宋" w:eastAsia="仿宋" w:cs="仿宋"/>
          <w:spacing w:val="24"/>
          <w:sz w:val="30"/>
          <w:szCs w:val="30"/>
        </w:rPr>
        <w:t>指以前年度尚未完成</w:t>
      </w:r>
      <w:r>
        <w:rPr>
          <w:rFonts w:ascii="仿宋" w:hAnsi="仿宋" w:eastAsia="仿宋" w:cs="仿宋"/>
          <w:spacing w:val="24"/>
          <w:position w:val="-9"/>
          <w:sz w:val="30"/>
          <w:szCs w:val="30"/>
        </w:rPr>
        <w:t>、</w:t>
      </w:r>
      <w:r>
        <w:rPr>
          <w:rFonts w:ascii="仿宋" w:hAnsi="仿宋" w:eastAsia="仿宋" w:cs="仿宋"/>
          <w:spacing w:val="24"/>
          <w:sz w:val="30"/>
          <w:szCs w:val="30"/>
        </w:rPr>
        <w:t>结转到本年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仍按原规定用途继续使用的资金，或项目已完成等产生的结余资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金。</w:t>
      </w:r>
    </w:p>
    <w:p>
      <w:pPr>
        <w:spacing w:before="21" w:line="288" w:lineRule="auto"/>
        <w:ind w:left="53" w:right="438" w:firstLine="762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4B4B4"/>
          <w:spacing w:val="19"/>
          <w:sz w:val="30"/>
          <w:szCs w:val="30"/>
        </w:rPr>
        <w:t>(六)</w:t>
      </w:r>
      <w:r>
        <w:rPr>
          <w:rFonts w:ascii="微软雅黑" w:hAnsi="微软雅黑" w:eastAsia="微软雅黑" w:cs="微软雅黑"/>
          <w:color w:val="B4B4B4"/>
          <w:spacing w:val="5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D8D8D"/>
          <w:spacing w:val="19"/>
          <w:sz w:val="30"/>
          <w:szCs w:val="30"/>
        </w:rPr>
        <w:t xml:space="preserve">结余分配:  </w:t>
      </w:r>
      <w:r>
        <w:rPr>
          <w:rFonts w:ascii="仿宋" w:hAnsi="仿宋" w:eastAsia="仿宋" w:cs="仿宋"/>
          <w:spacing w:val="19"/>
          <w:sz w:val="30"/>
          <w:szCs w:val="30"/>
        </w:rPr>
        <w:t>指事业单位按照事业单位会</w:t>
      </w:r>
      <w:r>
        <w:rPr>
          <w:rFonts w:ascii="仿宋" w:hAnsi="仿宋" w:eastAsia="仿宋" w:cs="仿宋"/>
          <w:spacing w:val="18"/>
          <w:sz w:val="30"/>
          <w:szCs w:val="30"/>
        </w:rPr>
        <w:t>计制度的规定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从非财政补助结余中分配的事业基金和职工福利基金等。</w:t>
      </w:r>
    </w:p>
    <w:p>
      <w:pPr>
        <w:spacing w:before="22" w:line="294" w:lineRule="auto"/>
        <w:ind w:left="58" w:right="435" w:firstLine="756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5B5B5"/>
          <w:spacing w:val="19"/>
          <w:sz w:val="30"/>
          <w:szCs w:val="30"/>
        </w:rPr>
        <w:t>(七)</w:t>
      </w:r>
      <w:r>
        <w:rPr>
          <w:rFonts w:ascii="微软雅黑" w:hAnsi="微软雅黑" w:eastAsia="微软雅黑" w:cs="微软雅黑"/>
          <w:color w:val="B5B5B5"/>
          <w:spacing w:val="5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D8D8D"/>
          <w:spacing w:val="19"/>
          <w:sz w:val="30"/>
          <w:szCs w:val="30"/>
        </w:rPr>
        <w:t xml:space="preserve">年末结转和结余:  </w:t>
      </w:r>
      <w:r>
        <w:rPr>
          <w:rFonts w:ascii="仿宋" w:hAnsi="仿宋" w:eastAsia="仿宋" w:cs="仿宋"/>
          <w:spacing w:val="19"/>
          <w:sz w:val="30"/>
          <w:szCs w:val="30"/>
        </w:rPr>
        <w:t>指单位按有关规定结转到下年或以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后年度继续使用的资金，或项目已完成等产生的结余资金。</w:t>
      </w:r>
    </w:p>
    <w:p>
      <w:pPr>
        <w:spacing w:before="11" w:line="291" w:lineRule="auto"/>
        <w:ind w:left="70" w:right="438" w:firstLine="744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1B1B1"/>
          <w:spacing w:val="19"/>
          <w:sz w:val="30"/>
          <w:szCs w:val="30"/>
        </w:rPr>
        <w:t>(八)</w:t>
      </w:r>
      <w:r>
        <w:rPr>
          <w:rFonts w:ascii="微软雅黑" w:hAnsi="微软雅黑" w:eastAsia="微软雅黑" w:cs="微软雅黑"/>
          <w:color w:val="B1B1B1"/>
          <w:spacing w:val="5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7C7C7C"/>
          <w:spacing w:val="19"/>
          <w:sz w:val="30"/>
          <w:szCs w:val="30"/>
        </w:rPr>
        <w:t xml:space="preserve">基本支出:  </w:t>
      </w:r>
      <w:r>
        <w:rPr>
          <w:rFonts w:ascii="仿宋" w:hAnsi="仿宋" w:eastAsia="仿宋" w:cs="仿宋"/>
          <w:spacing w:val="19"/>
          <w:sz w:val="30"/>
          <w:szCs w:val="30"/>
        </w:rPr>
        <w:t>填列单位为保障机构正常</w:t>
      </w:r>
      <w:r>
        <w:rPr>
          <w:rFonts w:ascii="仿宋" w:hAnsi="仿宋" w:eastAsia="仿宋" w:cs="仿宋"/>
          <w:spacing w:val="18"/>
          <w:sz w:val="30"/>
          <w:szCs w:val="30"/>
        </w:rPr>
        <w:t>运转、完成日常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工作任务而发生的各项支出。</w:t>
      </w:r>
    </w:p>
    <w:p>
      <w:pPr>
        <w:spacing w:before="22" w:line="290" w:lineRule="auto"/>
        <w:ind w:left="53" w:right="438" w:firstLine="76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6B6B6"/>
          <w:spacing w:val="19"/>
          <w:sz w:val="30"/>
          <w:szCs w:val="30"/>
        </w:rPr>
        <w:t>(九)</w:t>
      </w:r>
      <w:r>
        <w:rPr>
          <w:rFonts w:ascii="微软雅黑" w:hAnsi="微软雅黑" w:eastAsia="微软雅黑" w:cs="微软雅黑"/>
          <w:color w:val="B6B6B6"/>
          <w:spacing w:val="5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38383"/>
          <w:spacing w:val="19"/>
          <w:sz w:val="30"/>
          <w:szCs w:val="30"/>
        </w:rPr>
        <w:t xml:space="preserve">项目支出:  </w:t>
      </w:r>
      <w:r>
        <w:rPr>
          <w:rFonts w:ascii="仿宋" w:hAnsi="仿宋" w:eastAsia="仿宋" w:cs="仿宋"/>
          <w:spacing w:val="19"/>
          <w:sz w:val="30"/>
          <w:szCs w:val="30"/>
        </w:rPr>
        <w:t>填列单位为完成特定的行政</w:t>
      </w:r>
      <w:r>
        <w:rPr>
          <w:rFonts w:ascii="仿宋" w:hAnsi="仿宋" w:eastAsia="仿宋" w:cs="仿宋"/>
          <w:spacing w:val="18"/>
          <w:sz w:val="30"/>
          <w:szCs w:val="30"/>
        </w:rPr>
        <w:t>工作任务或事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业发展目标，在基本支出之外发生的各项支出</w:t>
      </w:r>
    </w:p>
    <w:p>
      <w:pPr>
        <w:spacing w:before="70" w:line="297" w:lineRule="auto"/>
        <w:ind w:left="91" w:right="423" w:firstLine="722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EAEAE"/>
          <w:spacing w:val="19"/>
          <w:sz w:val="30"/>
          <w:szCs w:val="30"/>
        </w:rPr>
        <w:t>(十)</w:t>
      </w:r>
      <w:r>
        <w:rPr>
          <w:rFonts w:ascii="微软雅黑" w:hAnsi="微软雅黑" w:eastAsia="微软雅黑" w:cs="微软雅黑"/>
          <w:color w:val="AEAEAE"/>
          <w:spacing w:val="51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7B7B7B"/>
          <w:spacing w:val="19"/>
          <w:sz w:val="30"/>
          <w:szCs w:val="30"/>
        </w:rPr>
        <w:t xml:space="preserve">基本建设支出:  </w:t>
      </w:r>
      <w:r>
        <w:rPr>
          <w:rFonts w:ascii="仿宋" w:hAnsi="仿宋" w:eastAsia="仿宋" w:cs="仿宋"/>
          <w:spacing w:val="19"/>
          <w:sz w:val="30"/>
          <w:szCs w:val="30"/>
        </w:rPr>
        <w:t>填列由本级发展与改革部门集中安排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的用于购置固定资产、战略性和应急性储备、土地和无形</w:t>
      </w:r>
      <w:r>
        <w:rPr>
          <w:rFonts w:ascii="仿宋" w:hAnsi="仿宋" w:eastAsia="仿宋" w:cs="仿宋"/>
          <w:spacing w:val="12"/>
          <w:sz w:val="30"/>
          <w:szCs w:val="30"/>
        </w:rPr>
        <w:t>资产，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以及购建基础设施、大型修缮所发生的一般公共预算财政</w:t>
      </w:r>
      <w:r>
        <w:rPr>
          <w:rFonts w:ascii="仿宋" w:hAnsi="仿宋" w:eastAsia="仿宋" w:cs="仿宋"/>
          <w:spacing w:val="12"/>
          <w:sz w:val="30"/>
          <w:szCs w:val="30"/>
        </w:rPr>
        <w:t>拨款支</w:t>
      </w:r>
    </w:p>
    <w:p>
      <w:pPr>
        <w:spacing w:line="297" w:lineRule="auto"/>
        <w:rPr>
          <w:rFonts w:ascii="仿宋" w:hAnsi="仿宋" w:eastAsia="仿宋" w:cs="仿宋"/>
          <w:sz w:val="30"/>
          <w:szCs w:val="30"/>
        </w:rPr>
        <w:sectPr>
          <w:footerReference r:id="rId33" w:type="default"/>
          <w:pgSz w:w="11906" w:h="16840"/>
          <w:pgMar w:top="400" w:right="1111" w:bottom="934" w:left="1516" w:header="0" w:footer="680" w:gutter="0"/>
          <w:cols w:space="720" w:num="1"/>
        </w:sectPr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98" w:line="341" w:lineRule="auto"/>
        <w:ind w:right="58" w:firstLine="6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出，不包括政府性基金、财政专户管理资金以</w:t>
      </w:r>
      <w:r>
        <w:rPr>
          <w:rFonts w:ascii="仿宋" w:hAnsi="仿宋" w:eastAsia="仿宋" w:cs="仿宋"/>
          <w:spacing w:val="11"/>
          <w:sz w:val="30"/>
          <w:szCs w:val="30"/>
        </w:rPr>
        <w:t>及各类拼盘自筹资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金等。</w:t>
      </w:r>
    </w:p>
    <w:p>
      <w:pPr>
        <w:spacing w:before="30" w:line="309" w:lineRule="auto"/>
        <w:ind w:left="15" w:right="68" w:firstLine="742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D0D0D0"/>
          <w:spacing w:val="24"/>
          <w:sz w:val="30"/>
          <w:szCs w:val="30"/>
        </w:rPr>
        <w:t xml:space="preserve">(十一)其他资本性支出:  </w:t>
      </w:r>
      <w:r>
        <w:rPr>
          <w:rFonts w:ascii="仿宋" w:hAnsi="仿宋" w:eastAsia="仿宋" w:cs="仿宋"/>
          <w:spacing w:val="24"/>
          <w:sz w:val="30"/>
          <w:szCs w:val="30"/>
        </w:rPr>
        <w:t>填列由各级非发展与改革部门集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中安排的用于购置固定资产、战备性和应急性储备、土地和无形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资产，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以及购建基础设施、大型修缮和财政支持企</w:t>
      </w:r>
      <w:r>
        <w:rPr>
          <w:rFonts w:ascii="仿宋" w:hAnsi="仿宋" w:eastAsia="仿宋" w:cs="仿宋"/>
          <w:spacing w:val="10"/>
          <w:sz w:val="30"/>
          <w:szCs w:val="30"/>
        </w:rPr>
        <w:t>业更新改造所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发生的支出。</w:t>
      </w:r>
    </w:p>
    <w:p>
      <w:pPr>
        <w:spacing w:before="62" w:line="326" w:lineRule="auto"/>
        <w:ind w:left="6" w:firstLine="751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BABAB"/>
          <w:spacing w:val="21"/>
          <w:sz w:val="30"/>
          <w:szCs w:val="30"/>
        </w:rPr>
        <w:t>(十二)</w:t>
      </w:r>
      <w:r>
        <w:rPr>
          <w:rFonts w:ascii="微软雅黑" w:hAnsi="微软雅黑" w:eastAsia="微软雅黑" w:cs="微软雅黑"/>
          <w:color w:val="ABABAB"/>
          <w:spacing w:val="37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C0C0C0"/>
          <w:spacing w:val="21"/>
          <w:sz w:val="30"/>
          <w:szCs w:val="30"/>
        </w:rPr>
        <w:t>"三公</w:t>
      </w:r>
      <w:r>
        <w:rPr>
          <w:position w:val="10"/>
          <w:sz w:val="30"/>
          <w:szCs w:val="30"/>
        </w:rPr>
        <w:drawing>
          <wp:inline distT="0" distB="0" distL="0" distR="0">
            <wp:extent cx="147955" cy="1035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8081" cy="1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C0C0C0"/>
          <w:spacing w:val="1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929292"/>
          <w:spacing w:val="21"/>
          <w:sz w:val="30"/>
          <w:szCs w:val="30"/>
        </w:rPr>
        <w:t xml:space="preserve">经费:  </w:t>
      </w:r>
      <w:r>
        <w:rPr>
          <w:rFonts w:ascii="仿宋" w:hAnsi="仿宋" w:eastAsia="仿宋" w:cs="仿宋"/>
          <w:spacing w:val="21"/>
          <w:sz w:val="30"/>
          <w:szCs w:val="30"/>
        </w:rPr>
        <w:t>指部门用财政拨款安排的因公出国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（境）费、公务用车购置及运行费和公务接待费。其中，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因公出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国（境）费反映单位公务出国（境）的国际旅费、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国外城市间交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通费、住宿费、伙食费、培训费、公杂费等支出；公务</w:t>
      </w:r>
      <w:r>
        <w:rPr>
          <w:rFonts w:ascii="仿宋" w:hAnsi="仿宋" w:eastAsia="仿宋" w:cs="仿宋"/>
          <w:spacing w:val="13"/>
          <w:sz w:val="30"/>
          <w:szCs w:val="30"/>
        </w:rPr>
        <w:t>用车购置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及运行费反映单位公务用车购置支出（含车辆购置税</w:t>
      </w:r>
      <w:r>
        <w:rPr>
          <w:rFonts w:ascii="仿宋" w:hAnsi="仿宋" w:eastAsia="仿宋" w:cs="仿宋"/>
          <w:spacing w:val="15"/>
          <w:sz w:val="30"/>
          <w:szCs w:val="30"/>
        </w:rPr>
        <w:t>、牌照费）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及按规定保留的公务用车燃料费、维修费、过桥过路费、保险</w:t>
      </w:r>
      <w:r>
        <w:rPr>
          <w:rFonts w:ascii="仿宋" w:hAnsi="仿宋" w:eastAsia="仿宋" w:cs="仿宋"/>
          <w:spacing w:val="4"/>
          <w:sz w:val="30"/>
          <w:szCs w:val="30"/>
        </w:rPr>
        <w:t>费、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安全奖励费用等支出；公务接待费反映单位按规定开支</w:t>
      </w:r>
      <w:r>
        <w:rPr>
          <w:rFonts w:ascii="仿宋" w:hAnsi="仿宋" w:eastAsia="仿宋" w:cs="仿宋"/>
          <w:spacing w:val="13"/>
          <w:sz w:val="30"/>
          <w:szCs w:val="30"/>
        </w:rPr>
        <w:t>的各类公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务接待（含外宾接待）支出。</w:t>
      </w:r>
    </w:p>
    <w:p>
      <w:pPr>
        <w:spacing w:before="62" w:line="295" w:lineRule="auto"/>
        <w:ind w:left="6" w:right="68" w:firstLine="751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AFAFAF"/>
          <w:spacing w:val="19"/>
          <w:sz w:val="30"/>
          <w:szCs w:val="30"/>
        </w:rPr>
        <w:t>(十三)</w:t>
      </w:r>
      <w:r>
        <w:rPr>
          <w:rFonts w:ascii="微软雅黑" w:hAnsi="微软雅黑" w:eastAsia="微软雅黑" w:cs="微软雅黑"/>
          <w:color w:val="AFAFAF"/>
          <w:spacing w:val="5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A8A8A"/>
          <w:spacing w:val="19"/>
          <w:sz w:val="30"/>
          <w:szCs w:val="30"/>
        </w:rPr>
        <w:t xml:space="preserve">其他交通费用:  </w:t>
      </w:r>
      <w:r>
        <w:rPr>
          <w:rFonts w:ascii="仿宋" w:hAnsi="仿宋" w:eastAsia="仿宋" w:cs="仿宋"/>
          <w:spacing w:val="19"/>
          <w:sz w:val="30"/>
          <w:szCs w:val="30"/>
        </w:rPr>
        <w:t>填列单位除公务用车</w:t>
      </w:r>
      <w:r>
        <w:rPr>
          <w:rFonts w:ascii="仿宋" w:hAnsi="仿宋" w:eastAsia="仿宋" w:cs="仿宋"/>
          <w:spacing w:val="18"/>
          <w:sz w:val="30"/>
          <w:szCs w:val="30"/>
        </w:rPr>
        <w:t>运行维护费以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外的其他交通费用。如公务交通补贴、租车费用、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出租车费用，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飞机、船舶等燃料费、维修费、保险费等。</w:t>
      </w:r>
    </w:p>
    <w:p>
      <w:pPr>
        <w:spacing w:before="41" w:line="290" w:lineRule="auto"/>
        <w:ind w:left="14" w:right="43" w:firstLine="744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EBEBE"/>
          <w:spacing w:val="14"/>
          <w:sz w:val="30"/>
          <w:szCs w:val="30"/>
        </w:rPr>
        <w:t xml:space="preserve">(十四)公务用车购置:  </w:t>
      </w:r>
      <w:r>
        <w:rPr>
          <w:rFonts w:ascii="仿宋" w:hAnsi="仿宋" w:eastAsia="仿宋" w:cs="仿宋"/>
          <w:spacing w:val="14"/>
          <w:sz w:val="30"/>
          <w:szCs w:val="30"/>
        </w:rPr>
        <w:t>填列单位公务用</w:t>
      </w:r>
      <w:r>
        <w:rPr>
          <w:rFonts w:ascii="仿宋" w:hAnsi="仿宋" w:eastAsia="仿宋" w:cs="仿宋"/>
          <w:spacing w:val="13"/>
          <w:sz w:val="30"/>
          <w:szCs w:val="30"/>
        </w:rPr>
        <w:t>车车辆购置支出（含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车辆购置税、牌照费）。</w:t>
      </w:r>
    </w:p>
    <w:p>
      <w:pPr>
        <w:spacing w:before="63" w:line="299" w:lineRule="auto"/>
        <w:ind w:left="1" w:right="55" w:firstLine="75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C5C5C5"/>
          <w:spacing w:val="24"/>
          <w:sz w:val="30"/>
          <w:szCs w:val="30"/>
        </w:rPr>
        <w:t xml:space="preserve">(十五)其他交通工具购置:  </w:t>
      </w:r>
      <w:r>
        <w:rPr>
          <w:rFonts w:ascii="仿宋" w:hAnsi="仿宋" w:eastAsia="仿宋" w:cs="仿宋"/>
          <w:spacing w:val="24"/>
          <w:sz w:val="30"/>
          <w:szCs w:val="30"/>
        </w:rPr>
        <w:t>填列单位除公务用车外的其他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各类交通工具（如船舶、飞机等）购置支出（含车辆购置税、牌</w:t>
      </w:r>
      <w:r>
        <w:rPr>
          <w:rFonts w:ascii="仿宋" w:hAnsi="仿宋" w:eastAsia="仿宋" w:cs="仿宋"/>
          <w:sz w:val="30"/>
          <w:szCs w:val="30"/>
        </w:rPr>
        <w:t xml:space="preserve"> 照费）。</w:t>
      </w:r>
    </w:p>
    <w:p>
      <w:pPr>
        <w:spacing w:before="66" w:line="297" w:lineRule="auto"/>
        <w:ind w:left="1" w:right="55" w:firstLine="75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D7D7D7"/>
          <w:spacing w:val="24"/>
          <w:sz w:val="30"/>
          <w:szCs w:val="30"/>
        </w:rPr>
        <w:t xml:space="preserve">(十六)机关运行经费:  </w:t>
      </w:r>
      <w:r>
        <w:rPr>
          <w:rFonts w:ascii="仿宋" w:hAnsi="仿宋" w:eastAsia="仿宋" w:cs="仿宋"/>
          <w:spacing w:val="24"/>
          <w:sz w:val="30"/>
          <w:szCs w:val="30"/>
        </w:rPr>
        <w:t>指为保障行政单位（包括参照公务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员法管理的事业单位）运行用于购买货物和服务的各</w:t>
      </w:r>
      <w:r>
        <w:rPr>
          <w:rFonts w:ascii="仿宋" w:hAnsi="仿宋" w:eastAsia="仿宋" w:cs="仿宋"/>
          <w:spacing w:val="13"/>
          <w:sz w:val="30"/>
          <w:szCs w:val="30"/>
        </w:rPr>
        <w:t>项资金，包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括办公及印刷费、邮电费、差旅费、会议费、福利费、 日常维修</w:t>
      </w:r>
    </w:p>
    <w:p>
      <w:pPr>
        <w:spacing w:line="297" w:lineRule="auto"/>
        <w:rPr>
          <w:rFonts w:ascii="仿宋" w:hAnsi="仿宋" w:eastAsia="仿宋" w:cs="仿宋"/>
          <w:sz w:val="30"/>
          <w:szCs w:val="30"/>
        </w:rPr>
        <w:sectPr>
          <w:footerReference r:id="rId34" w:type="default"/>
          <w:pgSz w:w="11906" w:h="16840"/>
          <w:pgMar w:top="400" w:right="1481" w:bottom="934" w:left="1573" w:header="0" w:footer="680" w:gutter="0"/>
          <w:cols w:space="720" w:num="1"/>
        </w:sectPr>
      </w:pP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spacing w:before="98" w:line="330" w:lineRule="auto"/>
        <w:ind w:firstLine="1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费、专用材料以及一般设备购置费、办公用房水电费、办公用房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取暖费、办公用房物业管理费、公务用车运行维护费以及其他费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用。</w:t>
      </w:r>
    </w:p>
    <w:p>
      <w:pPr>
        <w:spacing w:before="49" w:line="298" w:lineRule="auto"/>
        <w:ind w:firstLine="762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微软雅黑" w:hAnsi="微软雅黑" w:eastAsia="微软雅黑" w:cs="微软雅黑"/>
          <w:color w:val="B1B1B1"/>
          <w:spacing w:val="26"/>
          <w:sz w:val="30"/>
          <w:szCs w:val="30"/>
        </w:rPr>
        <w:t>(十七)</w:t>
      </w:r>
      <w:r>
        <w:rPr>
          <w:rFonts w:ascii="微软雅黑" w:hAnsi="微软雅黑" w:eastAsia="微软雅黑" w:cs="微软雅黑"/>
          <w:color w:val="B1B1B1"/>
          <w:spacing w:val="9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828282"/>
          <w:spacing w:val="26"/>
          <w:sz w:val="30"/>
          <w:szCs w:val="30"/>
        </w:rPr>
        <w:t>经费形式:</w:t>
      </w:r>
      <w:r>
        <w:rPr>
          <w:rFonts w:ascii="仿宋" w:hAnsi="仿宋" w:eastAsia="仿宋" w:cs="仿宋"/>
          <w:spacing w:val="26"/>
          <w:sz w:val="30"/>
          <w:szCs w:val="30"/>
        </w:rPr>
        <w:t>按照经费来源，可分为财政拨款、财政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性资金基本保证、财政性资金定额或定项补助、财政性资金零补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助四类。</w:t>
      </w:r>
    </w:p>
    <w:sectPr>
      <w:footerReference r:id="rId35" w:type="default"/>
      <w:pgSz w:w="11906" w:h="16840"/>
      <w:pgMar w:top="400" w:right="1537" w:bottom="934" w:left="1569" w:header="0" w:footer="68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393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2</w:t>
    </w:r>
    <w:r>
      <w:rPr>
        <w:rFonts w:ascii="Batang" w:hAnsi="Batang" w:eastAsia="Batang" w:cs="Batang"/>
        <w:spacing w:val="35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53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11</w:t>
    </w:r>
    <w:r>
      <w:rPr>
        <w:rFonts w:ascii="Batang" w:hAnsi="Batang" w:eastAsia="Batang" w:cs="Batang"/>
        <w:spacing w:val="32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53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12</w:t>
    </w:r>
    <w:r>
      <w:rPr>
        <w:rFonts w:ascii="Batang" w:hAnsi="Batang" w:eastAsia="Batang" w:cs="Batang"/>
        <w:spacing w:val="32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6953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13</w:t>
    </w:r>
    <w:r>
      <w:rPr>
        <w:rFonts w:ascii="Batang" w:hAnsi="Batang" w:eastAsia="Batang" w:cs="Batang"/>
        <w:spacing w:val="32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556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14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28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15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9"/>
        <w:sz w:val="19"/>
        <w:szCs w:val="19"/>
      </w:rPr>
      <w:t>-</w:t>
    </w:r>
    <w:r>
      <w:rPr>
        <w:rFonts w:ascii="Batang" w:hAnsi="Batang" w:eastAsia="Batang" w:cs="Batang"/>
        <w:spacing w:val="56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16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089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9"/>
        <w:sz w:val="19"/>
        <w:szCs w:val="19"/>
      </w:rPr>
      <w:t>-</w:t>
    </w:r>
    <w:r>
      <w:rPr>
        <w:rFonts w:ascii="Batang" w:hAnsi="Batang" w:eastAsia="Batang" w:cs="Batang"/>
        <w:spacing w:val="56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17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10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9"/>
        <w:sz w:val="19"/>
        <w:szCs w:val="19"/>
      </w:rPr>
      <w:t>-</w:t>
    </w:r>
    <w:r>
      <w:rPr>
        <w:rFonts w:ascii="Batang" w:hAnsi="Batang" w:eastAsia="Batang" w:cs="Batang"/>
        <w:spacing w:val="56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18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9"/>
        <w:sz w:val="19"/>
        <w:szCs w:val="19"/>
      </w:rPr>
      <w:t>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6" w:lineRule="auto"/>
      <w:ind w:left="408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19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107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4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20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21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089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22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23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14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24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10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4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25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088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26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387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4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27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14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28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6" w:lineRule="auto"/>
      <w:ind w:left="4089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6"/>
        <w:sz w:val="19"/>
        <w:szCs w:val="19"/>
      </w:rPr>
      <w:t>-</w:t>
    </w:r>
    <w:r>
      <w:rPr>
        <w:rFonts w:ascii="Batang" w:hAnsi="Batang" w:eastAsia="Batang" w:cs="Batang"/>
        <w:spacing w:val="36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29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6"/>
        <w:sz w:val="19"/>
        <w:szCs w:val="19"/>
      </w:rPr>
      <w:t>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409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5"/>
        <w:sz w:val="19"/>
        <w:szCs w:val="19"/>
      </w:rPr>
      <w:t>-</w:t>
    </w:r>
    <w:r>
      <w:rPr>
        <w:rFonts w:ascii="Batang" w:hAnsi="Batang" w:eastAsia="Batang" w:cs="Batang"/>
        <w:spacing w:val="30"/>
        <w:sz w:val="19"/>
        <w:szCs w:val="19"/>
      </w:rPr>
      <w:t xml:space="preserve"> </w:t>
    </w:r>
    <w:r>
      <w:rPr>
        <w:rFonts w:ascii="Batang" w:hAnsi="Batang" w:eastAsia="Batang" w:cs="Batang"/>
        <w:spacing w:val="-5"/>
        <w:sz w:val="19"/>
        <w:szCs w:val="19"/>
      </w:rPr>
      <w:t>30</w:t>
    </w:r>
    <w:r>
      <w:rPr>
        <w:rFonts w:ascii="Batang" w:hAnsi="Batang" w:eastAsia="Batang" w:cs="Batang"/>
        <w:spacing w:val="40"/>
        <w:sz w:val="19"/>
        <w:szCs w:val="19"/>
      </w:rPr>
      <w:t xml:space="preserve"> </w:t>
    </w:r>
    <w:r>
      <w:rPr>
        <w:rFonts w:ascii="Batang" w:hAnsi="Batang" w:eastAsia="Batang" w:cs="Batang"/>
        <w:spacing w:val="-5"/>
        <w:sz w:val="19"/>
        <w:szCs w:val="19"/>
      </w:rP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393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7"/>
        <w:sz w:val="19"/>
        <w:szCs w:val="19"/>
      </w:rPr>
      <w:t>-</w:t>
    </w:r>
    <w:r>
      <w:rPr>
        <w:rFonts w:ascii="Batang" w:hAnsi="Batang" w:eastAsia="Batang" w:cs="Batang"/>
        <w:spacing w:val="27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4</w:t>
    </w:r>
    <w:r>
      <w:rPr>
        <w:rFonts w:ascii="Batang" w:hAnsi="Batang" w:eastAsia="Batang" w:cs="Batang"/>
        <w:spacing w:val="37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3936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5</w:t>
    </w:r>
    <w:r>
      <w:rPr>
        <w:rFonts w:ascii="Batang" w:hAnsi="Batang" w:eastAsia="Batang" w:cs="Batang"/>
        <w:spacing w:val="35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562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7"/>
        <w:sz w:val="19"/>
        <w:szCs w:val="19"/>
      </w:rPr>
      <w:t>-</w:t>
    </w:r>
    <w:r>
      <w:rPr>
        <w:rFonts w:ascii="Batang" w:hAnsi="Batang" w:eastAsia="Batang" w:cs="Batang"/>
        <w:spacing w:val="28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6</w:t>
    </w:r>
    <w:r>
      <w:rPr>
        <w:rFonts w:ascii="Batang" w:hAnsi="Batang" w:eastAsia="Batang" w:cs="Batang"/>
        <w:spacing w:val="37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620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7"/>
        <w:sz w:val="19"/>
        <w:szCs w:val="19"/>
      </w:rPr>
      <w:t>-</w:t>
    </w:r>
    <w:r>
      <w:rPr>
        <w:rFonts w:ascii="Batang" w:hAnsi="Batang" w:eastAsia="Batang" w:cs="Batang"/>
        <w:spacing w:val="27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7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7"/>
        <w:sz w:val="19"/>
        <w:szCs w:val="19"/>
      </w:rPr>
      <w:t>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562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8</w:t>
    </w:r>
    <w:r>
      <w:rPr>
        <w:rFonts w:ascii="Batang" w:hAnsi="Batang" w:eastAsia="Batang" w:cs="Batang"/>
        <w:spacing w:val="35"/>
        <w:w w:val="101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6" w:lineRule="auto"/>
      <w:ind w:left="5722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30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9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7" w:lineRule="auto"/>
      <w:ind w:left="5565"/>
      <w:rPr>
        <w:rFonts w:ascii="Batang" w:hAnsi="Batang" w:eastAsia="Batang" w:cs="Batang"/>
        <w:sz w:val="19"/>
        <w:szCs w:val="19"/>
      </w:rPr>
    </w:pPr>
    <w:r>
      <w:rPr>
        <w:rFonts w:ascii="Batang" w:hAnsi="Batang" w:eastAsia="Batang" w:cs="Batang"/>
        <w:spacing w:val="-8"/>
        <w:sz w:val="19"/>
        <w:szCs w:val="19"/>
      </w:rPr>
      <w:t>-</w:t>
    </w:r>
    <w:r>
      <w:rPr>
        <w:rFonts w:ascii="Batang" w:hAnsi="Batang" w:eastAsia="Batang" w:cs="Batang"/>
        <w:spacing w:val="52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10</w:t>
    </w:r>
    <w:r>
      <w:rPr>
        <w:rFonts w:ascii="Batang" w:hAnsi="Batang" w:eastAsia="Batang" w:cs="Batang"/>
        <w:spacing w:val="35"/>
        <w:sz w:val="19"/>
        <w:szCs w:val="19"/>
      </w:rPr>
      <w:t xml:space="preserve"> </w:t>
    </w:r>
    <w:r>
      <w:rPr>
        <w:rFonts w:ascii="Batang" w:hAnsi="Batang" w:eastAsia="Batang" w:cs="Batang"/>
        <w:spacing w:val="-8"/>
        <w:sz w:val="19"/>
        <w:szCs w:val="19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865505</wp:posOffset>
              </wp:positionV>
              <wp:extent cx="7560310" cy="982726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865631"/>
                        <a:ext cx="7560309" cy="9827259"/>
                      </a:xfrm>
                      <a:prstGeom prst="rect">
                        <a:avLst/>
                      </a:prstGeom>
                      <a:solidFill>
                        <a:srgbClr val="F6F6F6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68.15pt;height:773.8pt;width:595.3pt;mso-position-horizontal-relative:page;mso-position-vertical-relative:page;z-index:-251657216;mso-width-relative:page;mso-height-relative:page;" fillcolor="#F6F6F6" filled="t" stroked="f" coordsize="21600,21600" o:allowincell="f" o:gfxdata="UEsDBAoAAAAAAIdO4kAAAAAAAAAAAAAAAAAEAAAAZHJzL1BLAwQUAAAACACHTuJAX2XbQdwAAAAK&#10;AQAADwAAAGRycy9kb3ducmV2LnhtbE2PzU7DMBCE70i8g7VIXBC1QyBKQpxKoCBUlUMpXHpzY5ME&#10;4nVkuz/w9GxPcNvdGc1+U82PdmR748PgUEIyE8AMtk4P2El4f3u6zoGFqFCr0aGR8G0CzOvzs0qV&#10;2h3w1ezXsWMUgqFUEvoYp5Lz0PbGqjBzk0HSPpy3KtLqO669OlC4HfmNEBm3akD60KvJPPam/Vrv&#10;rIRmsVh94tXdbZG/NM+rTeN/Ng9LKS8vEnEPLJpj/DPDCZ/QoSamrduhDmyUQEUiXdMsBXaSk0Jk&#10;wLY0ZXlaAK8r/r9C/QtQSwMEFAAAAAgAh07iQNJr2SErAgAAaAQAAA4AAABkcnMvZTJvRG9jLnht&#10;bK1UwY7aMBC9V+o/WL6XACtYQIQVAlFVQl1UWvVsHIdYsj3u2BDo13echKXd9rCHKpLzHI/fzHse&#10;Z/50sYadFQYNLueDXp8z5SQU2h1z/u3r5sOEsxCFK4QBp3J+VYE/Ld6/m9d+poZQgSkUMiJxYVb7&#10;nFcx+lmWBVkpK0IPvHK0WAJaEWmKx6xAURO7Ndmw3x9nNWDhEaQKgb6u20XeMeJbCKEstVRrkCer&#10;XGxZURkRSVKotA980VRblkrG57IMKjKTc1Iam5GSED6kMVvMxeyIwldadiWIt5TwSpMV2lHSF6q1&#10;iIKdUP9FZbVECFDGngSbtUIaR0jFoP/Km30lvGq0kNXBv5ge/h+t/HzeIdNFzoecOWHpwL+QaWyY&#10;nKl9mFHA3u+wmwWCSealRJveJIBdGjevOZ+MR+OHQWupukQmaeVxNO4/9KecSQqYToaPw9E0RWR3&#10;Do8hflRgWQI5R0rfWCnO2xDb0FtIShnA6GKjjWkmeDysDLKzoPPdjNPTsf8RZhyrU5Vpi4O0ueU1&#10;jipJKltdCR2guJIjCG2rBC83muraihB3Aqk3qHPo9sRnGkoDRAsd4qwC/Pmv7ymejoxWOaup13Ie&#10;fpwEKs7MJ0eHmRrzBvAGDjfgTnYFJG9A99LLBtIGjOYGSwT7nS7VMmWhJeEk5cp5vMFVbDueLqVU&#10;y2UTRO3nRdy6vZeJunVmeYpQ6sb0uxedRdSAzbF1lyV1+O/zJur+g1j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9l20HcAAAACgEAAA8AAAAAAAAAAQAgAAAAIgAAAGRycy9kb3ducmV2LnhtbFBL&#10;AQIUABQAAAAIAIdO4kDSa9khKwIAAGgEAAAOAAAAAAAAAAEAIAAAACsBAABkcnMvZTJvRG9jLnht&#10;bFBLBQYAAAAABgAGAFkBAADI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ViYmU3NDYxZGU1NTQ3YWUyM2RhNDdhZjBkYzZmNzMifQ=="/>
  </w:docVars>
  <w:rsids>
    <w:rsidRoot w:val="00000000"/>
    <w:rsid w:val="00D442B5"/>
    <w:rsid w:val="56017F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25.jpeg"/><Relationship Id="rId60" Type="http://schemas.openxmlformats.org/officeDocument/2006/relationships/image" Target="media/image24.png"/><Relationship Id="rId6" Type="http://schemas.openxmlformats.org/officeDocument/2006/relationships/header" Target="header2.xml"/><Relationship Id="rId59" Type="http://schemas.openxmlformats.org/officeDocument/2006/relationships/image" Target="media/image23.png"/><Relationship Id="rId58" Type="http://schemas.openxmlformats.org/officeDocument/2006/relationships/image" Target="media/image22.jpeg"/><Relationship Id="rId57" Type="http://schemas.openxmlformats.org/officeDocument/2006/relationships/image" Target="media/image21.jpeg"/><Relationship Id="rId56" Type="http://schemas.openxmlformats.org/officeDocument/2006/relationships/image" Target="media/image20.png"/><Relationship Id="rId55" Type="http://schemas.openxmlformats.org/officeDocument/2006/relationships/image" Target="media/image19.png"/><Relationship Id="rId54" Type="http://schemas.openxmlformats.org/officeDocument/2006/relationships/image" Target="media/image18.png"/><Relationship Id="rId53" Type="http://schemas.openxmlformats.org/officeDocument/2006/relationships/image" Target="media/image17.png"/><Relationship Id="rId52" Type="http://schemas.openxmlformats.org/officeDocument/2006/relationships/image" Target="media/image16.png"/><Relationship Id="rId51" Type="http://schemas.openxmlformats.org/officeDocument/2006/relationships/image" Target="media/image15.png"/><Relationship Id="rId50" Type="http://schemas.openxmlformats.org/officeDocument/2006/relationships/image" Target="media/image14.png"/><Relationship Id="rId5" Type="http://schemas.openxmlformats.org/officeDocument/2006/relationships/header" Target="header1.xml"/><Relationship Id="rId49" Type="http://schemas.openxmlformats.org/officeDocument/2006/relationships/image" Target="media/image13.png"/><Relationship Id="rId48" Type="http://schemas.openxmlformats.org/officeDocument/2006/relationships/image" Target="media/image12.png"/><Relationship Id="rId47" Type="http://schemas.openxmlformats.org/officeDocument/2006/relationships/image" Target="media/image11.png"/><Relationship Id="rId46" Type="http://schemas.openxmlformats.org/officeDocument/2006/relationships/image" Target="media/image10.png"/><Relationship Id="rId45" Type="http://schemas.openxmlformats.org/officeDocument/2006/relationships/image" Target="media/image9.png"/><Relationship Id="rId44" Type="http://schemas.openxmlformats.org/officeDocument/2006/relationships/image" Target="media/image8.png"/><Relationship Id="rId43" Type="http://schemas.openxmlformats.org/officeDocument/2006/relationships/image" Target="media/image7.png"/><Relationship Id="rId42" Type="http://schemas.openxmlformats.org/officeDocument/2006/relationships/image" Target="media/image6.png"/><Relationship Id="rId41" Type="http://schemas.openxmlformats.org/officeDocument/2006/relationships/image" Target="media/image5.png"/><Relationship Id="rId40" Type="http://schemas.openxmlformats.org/officeDocument/2006/relationships/image" Target="media/image4.png"/><Relationship Id="rId4" Type="http://schemas.openxmlformats.org/officeDocument/2006/relationships/endnotes" Target="endnotes.xml"/><Relationship Id="rId39" Type="http://schemas.openxmlformats.org/officeDocument/2006/relationships/image" Target="media/image3.png"/><Relationship Id="rId38" Type="http://schemas.openxmlformats.org/officeDocument/2006/relationships/image" Target="media/image2.png"/><Relationship Id="rId37" Type="http://schemas.openxmlformats.org/officeDocument/2006/relationships/image" Target="media/image1.png"/><Relationship Id="rId36" Type="http://schemas.openxmlformats.org/officeDocument/2006/relationships/theme" Target="theme/theme1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30</Pages>
  <Words>5534</Words>
  <Characters>6127</Characters>
  <TotalTime>1</TotalTime>
  <ScaleCrop>false</ScaleCrop>
  <LinksUpToDate>false</LinksUpToDate>
  <CharactersWithSpaces>6837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2023-08-10T19:22:00Z</dcterms:created>
  <dc:creator>王明新TIAD</dc:creator>
  <cp:lastModifiedBy>Bingraver_</cp:lastModifiedBy>
  <dcterms:modified xsi:type="dcterms:W3CDTF">2024-05-31T08:51:55Z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2024-05-24T11:47:53Z</vt:filetime>
  </property>
  <property fmtid="{D5CDD505-2E9C-101B-9397-08002B2CF9AE}" pid="4" name="KSOProductBuildVer">
    <vt:lpwstr>2052-12.1.0.16929</vt:lpwstr>
  </property>
  <property fmtid="{D5CDD505-2E9C-101B-9397-08002B2CF9AE}" pid="5" name="ICV">
    <vt:lpwstr>9C99EF0AB4DE45C99289C02128638980_12</vt:lpwstr>
  </property>
</Properties>
</file>