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黑体" w:hAnsi="黑体" w:eastAsia="黑体" w:cs="黑体"/>
          <w:b/>
          <w:color w:val="000000"/>
          <w:kern w:val="0"/>
          <w:sz w:val="44"/>
        </w:rPr>
      </w:pPr>
      <w:r>
        <w:rPr>
          <w:rFonts w:hint="eastAsia" w:ascii="黑体" w:hAnsi="黑体" w:eastAsia="黑体" w:cs="黑体"/>
          <w:b/>
          <w:color w:val="000000"/>
          <w:kern w:val="0"/>
          <w:sz w:val="44"/>
        </w:rPr>
        <w:t xml:space="preserve">昌黎县应急管理局 </w:t>
      </w:r>
    </w:p>
    <w:p>
      <w:pPr>
        <w:widowControl/>
        <w:jc w:val="center"/>
        <w:outlineLvl w:val="0"/>
        <w:rPr>
          <w:rFonts w:ascii="黑体" w:hAnsi="黑体" w:eastAsia="黑体" w:cs="黑体"/>
          <w:b/>
          <w:color w:val="000000"/>
          <w:kern w:val="0"/>
          <w:sz w:val="44"/>
        </w:rPr>
      </w:pPr>
      <w:r>
        <w:rPr>
          <w:rFonts w:hint="eastAsia" w:ascii="黑体" w:hAnsi="黑体" w:eastAsia="黑体" w:cs="黑体"/>
          <w:b/>
          <w:color w:val="000000"/>
          <w:kern w:val="0"/>
          <w:sz w:val="44"/>
        </w:rPr>
        <w:t>2023年部门所属单位预算信息公开</w:t>
      </w:r>
    </w:p>
    <w:p>
      <w:pPr>
        <w:widowControl/>
        <w:jc w:val="center"/>
        <w:outlineLvl w:val="0"/>
        <w:rPr>
          <w:rFonts w:ascii="黑体" w:hAnsi="黑体" w:eastAsia="黑体" w:cs="黑体"/>
          <w:b/>
          <w:color w:val="000000"/>
          <w:kern w:val="0"/>
          <w:sz w:val="44"/>
        </w:rPr>
      </w:pPr>
    </w:p>
    <w:p>
      <w:pPr>
        <w:jc w:val="center"/>
        <w:outlineLvl w:val="0"/>
        <w:rPr>
          <w:rFonts w:ascii="黑体" w:hAnsi="黑体" w:eastAsia="黑体" w:cs="黑体"/>
          <w:b/>
          <w:color w:val="000000"/>
          <w:kern w:val="0"/>
          <w:sz w:val="44"/>
        </w:rPr>
      </w:pPr>
      <w:r>
        <w:rPr>
          <w:rFonts w:hint="eastAsia" w:ascii="黑体" w:hAnsi="黑体" w:eastAsia="黑体" w:cs="黑体"/>
          <w:b/>
          <w:color w:val="000000"/>
          <w:kern w:val="0"/>
          <w:sz w:val="44"/>
        </w:rPr>
        <w:t>目录</w:t>
      </w:r>
    </w:p>
    <w:p>
      <w:pPr>
        <w:jc w:val="center"/>
        <w:outlineLvl w:val="0"/>
        <w:rPr>
          <w:rFonts w:ascii="黑体" w:hAnsi="黑体" w:eastAsia="黑体" w:cs="黑体"/>
          <w:b/>
          <w:color w:val="000000"/>
          <w:kern w:val="0"/>
          <w:sz w:val="44"/>
        </w:rPr>
      </w:pPr>
    </w:p>
    <w:p>
      <w:pPr>
        <w:widowControl/>
        <w:jc w:val="center"/>
        <w:rPr>
          <w:rFonts w:ascii="Times New Roman" w:hAnsi="Times New Roman" w:eastAsia="Times New Roman"/>
          <w:kern w:val="0"/>
          <w:sz w:val="24"/>
          <w:lang w:eastAsia="uk-UA"/>
        </w:rPr>
      </w:pPr>
      <w:r>
        <w:rPr>
          <w:rFonts w:ascii="黑体" w:hAnsi="黑体" w:eastAsia="黑体" w:cs="黑体"/>
          <w:b/>
          <w:color w:val="000000"/>
          <w:kern w:val="0"/>
          <w:sz w:val="30"/>
          <w:lang w:eastAsia="uk-UA"/>
        </w:rPr>
        <w:t>部门所属单位预算</w:t>
      </w:r>
    </w:p>
    <w:p>
      <w:pPr>
        <w:tabs>
          <w:tab w:val="right" w:leader="dot" w:pos="14562"/>
        </w:tabs>
        <w:spacing w:before="120"/>
        <w:ind w:firstLine="560"/>
        <w:rPr>
          <w:rFonts w:ascii="Times New Roman" w:hAnsi="Times New Roman" w:eastAsia="方正仿宋_GBK" w:cs="Times New Roman"/>
          <w:color w:val="000000"/>
          <w:sz w:val="28"/>
          <w:lang w:eastAsia="uk-UA"/>
        </w:rPr>
      </w:pPr>
      <w:r>
        <w:rPr>
          <w:rFonts w:ascii="Times New Roman" w:hAnsi="Times New Roman" w:eastAsia="方正仿宋_GBK" w:cs="Times New Roman"/>
          <w:color w:val="000000"/>
          <w:sz w:val="28"/>
          <w:lang w:eastAsia="uk-UA"/>
        </w:rPr>
        <w:fldChar w:fldCharType="begin"/>
      </w:r>
      <w:r>
        <w:rPr>
          <w:rFonts w:ascii="Times New Roman" w:hAnsi="Times New Roman" w:eastAsia="方正仿宋_GBK" w:cs="Times New Roman"/>
          <w:color w:val="000000"/>
          <w:sz w:val="28"/>
          <w:lang w:eastAsia="uk-UA"/>
        </w:rPr>
        <w:instrText xml:space="preserve">TOC \o "4-4" \h \z \u</w:instrText>
      </w:r>
      <w:r>
        <w:rPr>
          <w:rFonts w:ascii="Times New Roman" w:hAnsi="Times New Roman" w:eastAsia="方正仿宋_GBK" w:cs="Times New Roman"/>
          <w:color w:val="000000"/>
          <w:sz w:val="28"/>
          <w:lang w:eastAsia="uk-UA"/>
        </w:rPr>
        <w:fldChar w:fldCharType="separate"/>
      </w:r>
      <w:r>
        <w:fldChar w:fldCharType="begin"/>
      </w:r>
      <w:r>
        <w:instrText xml:space="preserve"> HYPERLINK \l "_Toc_4_4_0000000019" </w:instrText>
      </w:r>
      <w:r>
        <w:fldChar w:fldCharType="separate"/>
      </w:r>
      <w:r>
        <w:rPr>
          <w:rFonts w:ascii="Times New Roman" w:hAnsi="Times New Roman" w:eastAsia="方正仿宋_GBK" w:cs="Times New Roman"/>
          <w:color w:val="000000"/>
          <w:sz w:val="28"/>
          <w:lang w:eastAsia="uk-UA"/>
        </w:rPr>
        <w:t>一、昌黎县应急管理局本级收支预算</w:t>
      </w:r>
      <w:r>
        <w:rPr>
          <w:rFonts w:ascii="Times New Roman" w:hAnsi="Times New Roman" w:eastAsia="方正仿宋_GBK" w:cs="Times New Roman"/>
          <w:color w:val="000000"/>
          <w:sz w:val="28"/>
          <w:lang w:eastAsia="uk-UA"/>
        </w:rPr>
        <w:tab/>
      </w:r>
      <w:r>
        <w:rPr>
          <w:rFonts w:ascii="Times New Roman" w:hAnsi="Times New Roman" w:eastAsia="方正仿宋_GBK" w:cs="Times New Roman"/>
          <w:color w:val="000000"/>
          <w:sz w:val="28"/>
          <w:lang w:eastAsia="uk-UA"/>
        </w:rPr>
        <w:fldChar w:fldCharType="begin"/>
      </w:r>
      <w:r>
        <w:rPr>
          <w:rFonts w:ascii="Times New Roman" w:hAnsi="Times New Roman" w:eastAsia="方正仿宋_GBK" w:cs="Times New Roman"/>
          <w:color w:val="000000"/>
          <w:sz w:val="28"/>
          <w:lang w:eastAsia="uk-UA"/>
        </w:rPr>
        <w:instrText xml:space="preserve">PAGEREF _Toc_4_4_0000000019 \h</w:instrText>
      </w:r>
      <w:r>
        <w:rPr>
          <w:rFonts w:ascii="Times New Roman" w:hAnsi="Times New Roman" w:eastAsia="方正仿宋_GBK" w:cs="Times New Roman"/>
          <w:color w:val="000000"/>
          <w:sz w:val="28"/>
          <w:lang w:eastAsia="uk-UA"/>
        </w:rPr>
        <w:fldChar w:fldCharType="separate"/>
      </w:r>
      <w:r>
        <w:rPr>
          <w:rFonts w:ascii="Times New Roman" w:hAnsi="Times New Roman" w:eastAsia="方正仿宋_GBK" w:cs="Times New Roman"/>
          <w:color w:val="000000"/>
          <w:sz w:val="28"/>
          <w:lang w:eastAsia="uk-UA"/>
        </w:rPr>
        <w:t>1</w:t>
      </w:r>
      <w:r>
        <w:rPr>
          <w:rFonts w:ascii="Times New Roman" w:hAnsi="Times New Roman" w:eastAsia="方正仿宋_GBK" w:cs="Times New Roman"/>
          <w:color w:val="000000"/>
          <w:sz w:val="28"/>
          <w:lang w:eastAsia="uk-UA"/>
        </w:rPr>
        <w:fldChar w:fldCharType="end"/>
      </w:r>
      <w:r>
        <w:rPr>
          <w:rFonts w:ascii="Times New Roman" w:hAnsi="Times New Roman" w:eastAsia="方正仿宋_GBK" w:cs="Times New Roman"/>
          <w:color w:val="000000"/>
          <w:sz w:val="28"/>
          <w:lang w:eastAsia="uk-UA"/>
        </w:rPr>
        <w:fldChar w:fldCharType="end"/>
      </w:r>
    </w:p>
    <w:p>
      <w:pPr>
        <w:tabs>
          <w:tab w:val="right" w:leader="dot" w:pos="14562"/>
        </w:tabs>
        <w:spacing w:before="120"/>
        <w:ind w:firstLine="560"/>
        <w:rPr>
          <w:rFonts w:ascii="Times New Roman" w:hAnsi="Times New Roman" w:eastAsia="方正仿宋_GBK" w:cs="Times New Roman"/>
          <w:color w:val="000000"/>
          <w:sz w:val="28"/>
          <w:lang w:eastAsia="uk-UA"/>
        </w:rPr>
      </w:pPr>
      <w:r>
        <w:fldChar w:fldCharType="begin"/>
      </w:r>
      <w:r>
        <w:instrText xml:space="preserve"> HYPERLINK \l "_Toc_4_4_0000000020" </w:instrText>
      </w:r>
      <w:r>
        <w:fldChar w:fldCharType="separate"/>
      </w:r>
      <w:r>
        <w:rPr>
          <w:rFonts w:ascii="Times New Roman" w:hAnsi="Times New Roman" w:eastAsia="方正仿宋_GBK" w:cs="Times New Roman"/>
          <w:color w:val="000000"/>
          <w:sz w:val="28"/>
          <w:lang w:eastAsia="uk-UA"/>
        </w:rPr>
        <w:t>二、昌黎县应急管理局（事业）收支预算</w:t>
      </w:r>
      <w:r>
        <w:rPr>
          <w:rFonts w:ascii="Times New Roman" w:hAnsi="Times New Roman" w:eastAsia="方正仿宋_GBK" w:cs="Times New Roman"/>
          <w:color w:val="000000"/>
          <w:sz w:val="28"/>
          <w:lang w:eastAsia="uk-UA"/>
        </w:rPr>
        <w:tab/>
      </w:r>
      <w:r>
        <w:rPr>
          <w:rFonts w:ascii="Times New Roman" w:hAnsi="Times New Roman" w:eastAsia="方正仿宋_GBK" w:cs="Times New Roman"/>
          <w:color w:val="000000"/>
          <w:sz w:val="28"/>
          <w:lang w:eastAsia="uk-UA"/>
        </w:rPr>
        <w:fldChar w:fldCharType="begin"/>
      </w:r>
      <w:r>
        <w:rPr>
          <w:rFonts w:ascii="Times New Roman" w:hAnsi="Times New Roman" w:eastAsia="方正仿宋_GBK" w:cs="Times New Roman"/>
          <w:color w:val="000000"/>
          <w:sz w:val="28"/>
          <w:lang w:eastAsia="uk-UA"/>
        </w:rPr>
        <w:instrText xml:space="preserve">PAGEREF _Toc_4_4_0000000020 \h</w:instrText>
      </w:r>
      <w:r>
        <w:rPr>
          <w:rFonts w:ascii="Times New Roman" w:hAnsi="Times New Roman" w:eastAsia="方正仿宋_GBK" w:cs="Times New Roman"/>
          <w:color w:val="000000"/>
          <w:sz w:val="28"/>
          <w:lang w:eastAsia="uk-UA"/>
        </w:rPr>
        <w:fldChar w:fldCharType="separate"/>
      </w:r>
      <w:r>
        <w:rPr>
          <w:rFonts w:ascii="Times New Roman" w:hAnsi="Times New Roman" w:eastAsia="方正仿宋_GBK" w:cs="Times New Roman"/>
          <w:color w:val="000000"/>
          <w:sz w:val="28"/>
          <w:lang w:eastAsia="uk-UA"/>
        </w:rPr>
        <w:t>25</w:t>
      </w:r>
      <w:r>
        <w:rPr>
          <w:rFonts w:ascii="Times New Roman" w:hAnsi="Times New Roman" w:eastAsia="方正仿宋_GBK" w:cs="Times New Roman"/>
          <w:color w:val="000000"/>
          <w:sz w:val="28"/>
          <w:lang w:eastAsia="uk-UA"/>
        </w:rPr>
        <w:fldChar w:fldCharType="end"/>
      </w:r>
      <w:r>
        <w:rPr>
          <w:rFonts w:ascii="Times New Roman" w:hAnsi="Times New Roman" w:eastAsia="方正仿宋_GBK" w:cs="Times New Roman"/>
          <w:color w:val="000000"/>
          <w:sz w:val="28"/>
          <w:lang w:eastAsia="uk-UA"/>
        </w:rPr>
        <w:fldChar w:fldCharType="end"/>
      </w:r>
    </w:p>
    <w:p>
      <w:pPr>
        <w:jc w:val="center"/>
        <w:outlineLvl w:val="0"/>
        <w:rPr>
          <w:rFonts w:ascii="黑体" w:hAnsi="黑体" w:eastAsia="黑体" w:cs="黑体"/>
          <w:b/>
          <w:color w:val="000000"/>
          <w:kern w:val="0"/>
          <w:sz w:val="44"/>
        </w:rPr>
        <w:sectPr>
          <w:footerReference r:id="rId3" w:type="default"/>
          <w:pgSz w:w="16840" w:h="11900" w:orient="landscape"/>
          <w:pgMar w:top="1361" w:right="1020" w:bottom="1134" w:left="1020" w:header="720" w:footer="720" w:gutter="0"/>
          <w:cols w:space="720" w:num="1"/>
        </w:sectPr>
      </w:pPr>
      <w:r>
        <w:rPr>
          <w:rFonts w:ascii="Times New Roman" w:hAnsi="Times New Roman" w:eastAsia="Times New Roman"/>
          <w:kern w:val="0"/>
          <w:sz w:val="24"/>
          <w:lang w:eastAsia="uk-UA"/>
        </w:rPr>
        <w:fldChar w:fldCharType="end"/>
      </w:r>
    </w:p>
    <w:p>
      <w:pPr>
        <w:widowControl/>
        <w:jc w:val="center"/>
        <w:outlineLvl w:val="3"/>
        <w:rPr>
          <w:rFonts w:ascii="Times New Roman" w:hAnsi="Times New Roman" w:eastAsia="Times New Roman"/>
          <w:kern w:val="0"/>
          <w:sz w:val="24"/>
          <w:lang w:eastAsia="uk-UA"/>
        </w:rPr>
      </w:pPr>
      <w:bookmarkStart w:id="0" w:name="_Toc_4_4_0000000019"/>
      <w:r>
        <w:rPr>
          <w:rFonts w:ascii="方正小标宋_GBK" w:hAnsi="方正小标宋_GBK" w:eastAsia="方正小标宋_GBK" w:cs="方正小标宋_GBK"/>
          <w:color w:val="000000"/>
          <w:kern w:val="0"/>
          <w:sz w:val="44"/>
          <w:lang w:eastAsia="uk-UA"/>
        </w:rPr>
        <w:t>一、昌黎县应急管理局本级收支预算</w:t>
      </w:r>
      <w:bookmarkEnd w:id="0"/>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426001昌黎县应急管理局本级</w:t>
            </w:r>
          </w:p>
        </w:tc>
        <w:tc>
          <w:tcPr>
            <w:tcW w:w="2126" w:type="dxa"/>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6661" w:type="dxa"/>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6661" w:type="dxa"/>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收入</w:t>
            </w:r>
          </w:p>
        </w:tc>
        <w:tc>
          <w:tcPr>
            <w:tcW w:w="6661" w:type="dxa"/>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kern w:val="0"/>
                <w:sz w:val="24"/>
                <w:lang w:eastAsia="uk-UA"/>
              </w:rPr>
            </w:pP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2126"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预算数</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2126"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2126"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2126"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一、一般公共预算拨款收入</w:t>
            </w:r>
          </w:p>
        </w:tc>
        <w:tc>
          <w:tcPr>
            <w:tcW w:w="2126"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291.06</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一、一般公共服务支出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二、政府性基金预算拨款收入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二、外交支出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三、国有资本经营预算拨款收入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三、国防支出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四、财政专户管理资金收入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四、公共安全支出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五、事业收入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五、教育支出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六、事业单位经营收入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六、科学技术支出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七、上级补助收入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七、文化旅游体育与传媒支出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八、附属单位上缴收入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八、社会保障和就业支出</w:t>
            </w:r>
          </w:p>
        </w:tc>
        <w:tc>
          <w:tcPr>
            <w:tcW w:w="2126"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九、其他收入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九、社会保险基金支出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十、卫生健康支出</w:t>
            </w:r>
          </w:p>
        </w:tc>
        <w:tc>
          <w:tcPr>
            <w:tcW w:w="2126"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十一、节能环保支出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十二、城乡社区支出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十三、农林水支出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十四、交通运输支出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15</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十五、资源勘探工业信息等支出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16</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十六、商业服务业等支出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17</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十七、金融支出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18</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十八、援助其他地区支出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19</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十九、自然资源海洋气象等支出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20</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二十、住房保障支出</w:t>
            </w:r>
          </w:p>
        </w:tc>
        <w:tc>
          <w:tcPr>
            <w:tcW w:w="2126"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21</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二十一、粮油物资储备支出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22</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二十二、国有资本经营预算支出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23</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二十三、灾害防治及应急管理支出</w:t>
            </w:r>
          </w:p>
        </w:tc>
        <w:tc>
          <w:tcPr>
            <w:tcW w:w="2126"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24</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二十四、预备费</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25</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二十五、其他支出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26</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二十六、转移性支出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27</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二十七、债务还本支出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28</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二十八、债务付息支出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29</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二十九、债务发行费用支出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30</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三十、抗疫特别国债安排的支出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31</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三十一、人行科目</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32</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本年收入合计</w:t>
            </w:r>
          </w:p>
        </w:tc>
        <w:tc>
          <w:tcPr>
            <w:tcW w:w="2126" w:type="dxa"/>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本年支出合计</w:t>
            </w:r>
          </w:p>
        </w:tc>
        <w:tc>
          <w:tcPr>
            <w:tcW w:w="2126" w:type="dxa"/>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33</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上年结转结余</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年终结转结余</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34</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收入总计</w:t>
            </w:r>
          </w:p>
        </w:tc>
        <w:tc>
          <w:tcPr>
            <w:tcW w:w="2126" w:type="dxa"/>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支出总计</w:t>
            </w:r>
          </w:p>
        </w:tc>
        <w:tc>
          <w:tcPr>
            <w:tcW w:w="2126" w:type="dxa"/>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r>
    </w:tbl>
    <w:p>
      <w:pPr>
        <w:sectPr>
          <w:footerReference r:id="rId4" w:type="default"/>
          <w:pgSz w:w="16840" w:h="11900" w:orient="landscape"/>
          <w:pgMar w:top="1361" w:right="1020" w:bottom="1134" w:left="1020" w:header="720" w:footer="720" w:gutter="0"/>
          <w:pgNumType w:start="1"/>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426001昌黎县应急管理局本级</w:t>
            </w:r>
          </w:p>
        </w:tc>
        <w:tc>
          <w:tcPr>
            <w:tcW w:w="1153" w:type="pct"/>
            <w:gridSpan w:val="3"/>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923" w:type="pct"/>
            <w:gridSpan w:val="5"/>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769"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功能分类科目</w:t>
            </w:r>
          </w:p>
        </w:tc>
        <w:tc>
          <w:tcPr>
            <w:tcW w:w="384"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3076" w:type="pct"/>
            <w:gridSpan w:val="8"/>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本年收入</w:t>
            </w:r>
          </w:p>
        </w:tc>
        <w:tc>
          <w:tcPr>
            <w:tcW w:w="384"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widowControl/>
              <w:jc w:val="left"/>
              <w:rPr>
                <w:rFonts w:ascii="Times New Roman" w:hAnsi="Times New Roman" w:eastAsia="Times New Roman"/>
                <w:kern w:val="0"/>
                <w:sz w:val="24"/>
                <w:lang w:eastAsia="uk-UA"/>
              </w:rPr>
            </w:pP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    编码</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384" w:type="pct"/>
            <w:vMerge w:val="continue"/>
          </w:tcPr>
          <w:p>
            <w:pPr>
              <w:widowControl/>
              <w:jc w:val="left"/>
              <w:rPr>
                <w:rFonts w:ascii="Times New Roman" w:hAnsi="Times New Roman" w:eastAsia="Times New Roman"/>
                <w:kern w:val="0"/>
                <w:sz w:val="24"/>
                <w:lang w:eastAsia="uk-UA"/>
              </w:rPr>
            </w:pP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小计</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财政拨款 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财政专户 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事业收入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经营收入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上级补助收入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附属单位上缴收入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其他收入</w:t>
            </w:r>
          </w:p>
        </w:tc>
        <w:tc>
          <w:tcPr>
            <w:tcW w:w="384"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6</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7</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8</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9</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10</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11</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384" w:type="pct"/>
            <w:vAlign w:val="center"/>
          </w:tcPr>
          <w:p>
            <w:pPr>
              <w:jc w:val="left"/>
              <w:rPr>
                <w:rFonts w:ascii="方正书宋_GBK" w:hAnsi="方正书宋_GBK" w:eastAsia="方正书宋_GBK" w:cs="方正书宋_GBK"/>
                <w:b/>
                <w:lang w:eastAsia="uk-UA"/>
              </w:rPr>
            </w:pP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384"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384"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384"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社会保障和就业支出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行政事业单位养老支出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2080505</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机关事业单位基本养老保险缴费支出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卫生健康支出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行政事业单位医疗</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2101101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行政单位医疗</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16.56</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16.56</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16.56</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2101102</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事业单位医疗</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0.09</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0.09</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0.09</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住房保障支出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住房改革支出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2210201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住房公积金</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灾害防治及应急管理支出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应急管理事务</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2240101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行政运行</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426001昌黎县应急管理局本级</w:t>
            </w:r>
          </w:p>
        </w:tc>
        <w:tc>
          <w:tcPr>
            <w:tcW w:w="1110" w:type="pct"/>
            <w:gridSpan w:val="2"/>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2222" w:type="pct"/>
            <w:gridSpan w:val="4"/>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111"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功能分类科目</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基本支出</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项目支出</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经营支出</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上解上级     支出</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widowControl/>
              <w:jc w:val="left"/>
              <w:rPr>
                <w:rFonts w:ascii="Times New Roman" w:hAnsi="Times New Roman" w:eastAsia="Times New Roman"/>
                <w:kern w:val="0"/>
                <w:sz w:val="24"/>
                <w:lang w:eastAsia="uk-UA"/>
              </w:rPr>
            </w:pP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    编码</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555" w:type="pct"/>
            <w:vMerge w:val="continue"/>
          </w:tcPr>
          <w:p>
            <w:pPr>
              <w:widowControl/>
              <w:jc w:val="left"/>
              <w:rPr>
                <w:rFonts w:ascii="Times New Roman" w:hAnsi="Times New Roman" w:eastAsia="Times New Roman"/>
                <w:kern w:val="0"/>
                <w:sz w:val="24"/>
                <w:lang w:eastAsia="uk-UA"/>
              </w:rPr>
            </w:pPr>
          </w:p>
        </w:tc>
        <w:tc>
          <w:tcPr>
            <w:tcW w:w="555" w:type="pct"/>
            <w:vMerge w:val="continue"/>
          </w:tcPr>
          <w:p>
            <w:pPr>
              <w:widowControl/>
              <w:jc w:val="left"/>
              <w:rPr>
                <w:rFonts w:ascii="Times New Roman" w:hAnsi="Times New Roman" w:eastAsia="Times New Roman"/>
                <w:kern w:val="0"/>
                <w:sz w:val="24"/>
                <w:lang w:eastAsia="uk-UA"/>
              </w:rPr>
            </w:pPr>
          </w:p>
        </w:tc>
        <w:tc>
          <w:tcPr>
            <w:tcW w:w="555" w:type="pct"/>
            <w:vMerge w:val="continue"/>
          </w:tcPr>
          <w:p>
            <w:pPr>
              <w:widowControl/>
              <w:jc w:val="left"/>
              <w:rPr>
                <w:rFonts w:ascii="Times New Roman" w:hAnsi="Times New Roman" w:eastAsia="Times New Roman"/>
                <w:kern w:val="0"/>
                <w:sz w:val="24"/>
                <w:lang w:eastAsia="uk-UA"/>
              </w:rPr>
            </w:pPr>
          </w:p>
        </w:tc>
        <w:tc>
          <w:tcPr>
            <w:tcW w:w="555" w:type="pct"/>
            <w:vMerge w:val="continue"/>
          </w:tcPr>
          <w:p>
            <w:pPr>
              <w:widowControl/>
              <w:jc w:val="left"/>
              <w:rPr>
                <w:rFonts w:ascii="Times New Roman" w:hAnsi="Times New Roman" w:eastAsia="Times New Roman"/>
                <w:kern w:val="0"/>
                <w:sz w:val="24"/>
                <w:lang w:eastAsia="uk-UA"/>
              </w:rPr>
            </w:pPr>
          </w:p>
        </w:tc>
        <w:tc>
          <w:tcPr>
            <w:tcW w:w="555" w:type="pct"/>
            <w:vMerge w:val="continue"/>
          </w:tcPr>
          <w:p>
            <w:pPr>
              <w:widowControl/>
              <w:jc w:val="left"/>
              <w:rPr>
                <w:rFonts w:ascii="Times New Roman" w:hAnsi="Times New Roman" w:eastAsia="Times New Roman"/>
                <w:kern w:val="0"/>
                <w:sz w:val="24"/>
                <w:lang w:eastAsia="uk-UA"/>
              </w:rPr>
            </w:pPr>
          </w:p>
        </w:tc>
        <w:tc>
          <w:tcPr>
            <w:tcW w:w="555"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6</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7</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555" w:type="pct"/>
            <w:vAlign w:val="center"/>
          </w:tcPr>
          <w:p>
            <w:pPr>
              <w:jc w:val="left"/>
              <w:rPr>
                <w:rFonts w:ascii="方正书宋_GBK" w:hAnsi="方正书宋_GBK" w:eastAsia="方正书宋_GBK" w:cs="方正书宋_GBK"/>
                <w:b/>
                <w:lang w:eastAsia="uk-UA"/>
              </w:rPr>
            </w:pP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55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55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555" w:type="pct"/>
            <w:vAlign w:val="center"/>
          </w:tcPr>
          <w:p>
            <w:pPr>
              <w:jc w:val="right"/>
              <w:rPr>
                <w:rFonts w:ascii="方正书宋_GBK" w:hAnsi="方正书宋_GBK" w:eastAsia="方正书宋_GBK" w:cs="方正书宋_GBK"/>
                <w:b/>
                <w:lang w:eastAsia="uk-UA"/>
              </w:rPr>
            </w:pPr>
          </w:p>
        </w:tc>
        <w:tc>
          <w:tcPr>
            <w:tcW w:w="555" w:type="pct"/>
            <w:vAlign w:val="center"/>
          </w:tcPr>
          <w:p>
            <w:pPr>
              <w:jc w:val="right"/>
              <w:rPr>
                <w:rFonts w:ascii="方正书宋_GBK" w:hAnsi="方正书宋_GBK" w:eastAsia="方正书宋_GBK" w:cs="方正书宋_GBK"/>
                <w:b/>
                <w:lang w:eastAsia="uk-UA"/>
              </w:rPr>
            </w:pPr>
          </w:p>
        </w:tc>
        <w:tc>
          <w:tcPr>
            <w:tcW w:w="555" w:type="pct"/>
            <w:vAlign w:val="center"/>
          </w:tcPr>
          <w:p>
            <w:pPr>
              <w:jc w:val="right"/>
              <w:rPr>
                <w:rFonts w:ascii="方正书宋_GBK" w:hAnsi="方正书宋_GBK" w:eastAsia="方正书宋_GBK" w:cs="方正书宋_GBK"/>
                <w:b/>
                <w:lang w:eastAsia="uk-UA"/>
              </w:rPr>
            </w:pPr>
          </w:p>
        </w:tc>
        <w:tc>
          <w:tcPr>
            <w:tcW w:w="555" w:type="pct"/>
            <w:vAlign w:val="center"/>
          </w:tcPr>
          <w:p>
            <w:pPr>
              <w:jc w:val="right"/>
              <w:rPr>
                <w:rFonts w:ascii="方正书宋_GBK" w:hAnsi="方正书宋_GBK" w:eastAsia="方正书宋_GBK" w:cs="方正书宋_GBK"/>
                <w:b/>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社会保障和就业支出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行政事业单位养老支出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2080505</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机关事业单位基本养老保险缴费支出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卫生健康支出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行政事业单位医疗</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2101101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行政单位医疗</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16.56</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16.56</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2101102</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事业单位医疗</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0.09</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0.09</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住房保障支出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住房改革支出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2210201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住房公积金</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灾害防治及应急管理支出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应急管理事务</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2240101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行政运行</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426001昌黎县应急管理局本级</w:t>
            </w:r>
          </w:p>
        </w:tc>
        <w:tc>
          <w:tcPr>
            <w:tcW w:w="625"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2500" w:type="pct"/>
            <w:gridSpan w:val="4"/>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250"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收入</w:t>
            </w:r>
          </w:p>
        </w:tc>
        <w:tc>
          <w:tcPr>
            <w:tcW w:w="3125" w:type="pct"/>
            <w:gridSpan w:val="5"/>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widowControl/>
              <w:jc w:val="left"/>
              <w:rPr>
                <w:rFonts w:ascii="Times New Roman" w:hAnsi="Times New Roman" w:eastAsia="Times New Roman"/>
                <w:kern w:val="0"/>
                <w:sz w:val="24"/>
                <w:lang w:eastAsia="uk-UA"/>
              </w:rPr>
            </w:pP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金额</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一般公共预算财政拨款</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政府性基金预算财政    拨款</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6</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一、一般公共预算拨款</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291.06</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一、一般公共服务支出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二、政府性基金预算拨款</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二、外交支出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三、国有资本经营预算拨款</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三、国防支出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四、公共安全支出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五、教育支出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六、科学技术支出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七、文化旅游体育与传媒支出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八、社会保障和就业支出</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九、社会保险基金支出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十、卫生健康支出</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十一、节能环保支出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十二、城乡社区支出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十三、农林水支出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十四、交通运输支出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15</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十五、资源勘探工业信息等支出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16</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十六、商业服务业等支出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17</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十七、金融支出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18</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十八、援助其他地区支出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19</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十九、自然资源海洋气象等支出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20</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二十、住房保障支出</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21</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二十一、粮油物资储备支出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22</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二十二、国有资本经营预算支出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23</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二十三、灾害防治及应急管理支出</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24</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二十四、预备费</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25</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二十五、其他支出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26</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二十六、转移性支出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27</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二十七、债务还本支出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28</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二十八、债务付息支出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29</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二十九、债务发行费用支出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30</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三十、抗疫特别国债安排的支出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31</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三十一、人行科目</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32</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本年收入合计</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本年支出合计</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625" w:type="pct"/>
            <w:vAlign w:val="center"/>
          </w:tcPr>
          <w:p>
            <w:pPr>
              <w:jc w:val="right"/>
              <w:rPr>
                <w:rFonts w:ascii="方正书宋_GBK" w:hAnsi="方正书宋_GBK" w:eastAsia="方正书宋_GBK" w:cs="方正书宋_GBK"/>
                <w:b/>
                <w:lang w:eastAsia="uk-UA"/>
              </w:rPr>
            </w:pPr>
          </w:p>
        </w:tc>
        <w:tc>
          <w:tcPr>
            <w:tcW w:w="625" w:type="pct"/>
            <w:vAlign w:val="center"/>
          </w:tcPr>
          <w:p>
            <w:pPr>
              <w:jc w:val="right"/>
              <w:rPr>
                <w:rFonts w:ascii="方正书宋_GBK" w:hAnsi="方正书宋_GBK" w:eastAsia="方正书宋_GBK" w:cs="方正书宋_GBK"/>
                <w:b/>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33</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年初财政拨款结转和结余</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年末财政拨款结转和结余</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34</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一、一般公共预算拨款</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35</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二、政府性基金预算拨款</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36</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三、国有资本经营预算拨款</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37</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收入总计</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支出总计</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625" w:type="pct"/>
            <w:vAlign w:val="center"/>
          </w:tcPr>
          <w:p>
            <w:pPr>
              <w:jc w:val="right"/>
              <w:rPr>
                <w:rFonts w:ascii="方正书宋_GBK" w:hAnsi="方正书宋_GBK" w:eastAsia="方正书宋_GBK" w:cs="方正书宋_GBK"/>
                <w:b/>
                <w:lang w:eastAsia="uk-UA"/>
              </w:rPr>
            </w:pPr>
          </w:p>
        </w:tc>
        <w:tc>
          <w:tcPr>
            <w:tcW w:w="625" w:type="pct"/>
            <w:vAlign w:val="center"/>
          </w:tcPr>
          <w:p>
            <w:pPr>
              <w:jc w:val="right"/>
              <w:rPr>
                <w:rFonts w:ascii="方正书宋_GBK" w:hAnsi="方正书宋_GBK" w:eastAsia="方正书宋_GBK" w:cs="方正书宋_GBK"/>
                <w:b/>
                <w:lang w:eastAsia="uk-UA"/>
              </w:rPr>
            </w:pP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426001昌黎县应急管理局本级</w:t>
            </w:r>
          </w:p>
        </w:tc>
        <w:tc>
          <w:tcPr>
            <w:tcW w:w="833"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666" w:type="pct"/>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666"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功能分类科目</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基本支出</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科目编码</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833" w:type="pct"/>
            <w:vAlign w:val="center"/>
          </w:tcPr>
          <w:p>
            <w:pPr>
              <w:jc w:val="left"/>
              <w:rPr>
                <w:rFonts w:ascii="方正书宋_GBK" w:hAnsi="方正书宋_GBK" w:eastAsia="方正书宋_GBK" w:cs="方正书宋_GBK"/>
                <w:b/>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833" w:type="pct"/>
            <w:vAlign w:val="center"/>
          </w:tcPr>
          <w:p>
            <w:pPr>
              <w:jc w:val="right"/>
              <w:rPr>
                <w:rFonts w:ascii="方正书宋_GBK" w:hAnsi="方正书宋_GBK" w:eastAsia="方正书宋_GBK" w:cs="方正书宋_GBK"/>
                <w:b/>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社会保障和就业支出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行政事业单位养老支出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2080505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机关事业单位基本养老保险缴费支出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卫生健康支出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行政事业单位医疗</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16.65</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行政单位医疗</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16.56</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16.56</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2101102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事业单位医疗</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0.09</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0.09</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住房保障支出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住房改革支出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住房公积金</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灾害防治及应急管理支出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应急管理事务</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行政运行</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234.02</w:t>
            </w:r>
          </w:p>
        </w:tc>
        <w:tc>
          <w:tcPr>
            <w:tcW w:w="833" w:type="pct"/>
            <w:vAlign w:val="center"/>
          </w:tcPr>
          <w:p>
            <w:pPr>
              <w:jc w:val="right"/>
              <w:rPr>
                <w:rFonts w:ascii="方正书宋_GBK" w:hAnsi="方正书宋_GBK" w:eastAsia="方正书宋_GBK" w:cs="方正书宋_GBK"/>
                <w:lang w:eastAsia="uk-UA"/>
              </w:rPr>
            </w:pP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426001昌黎县应急管理局本级</w:t>
            </w:r>
          </w:p>
        </w:tc>
        <w:tc>
          <w:tcPr>
            <w:tcW w:w="833"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666" w:type="pct"/>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666"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支出部门经济分类科目</w:t>
            </w:r>
          </w:p>
        </w:tc>
        <w:tc>
          <w:tcPr>
            <w:tcW w:w="2499" w:type="pct"/>
            <w:gridSpan w:val="3"/>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科目编码</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人员经费</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833" w:type="pct"/>
            <w:vAlign w:val="center"/>
          </w:tcPr>
          <w:p>
            <w:pPr>
              <w:jc w:val="left"/>
              <w:rPr>
                <w:rFonts w:ascii="方正书宋_GBK" w:hAnsi="方正书宋_GBK" w:eastAsia="方正书宋_GBK" w:cs="方正书宋_GBK"/>
                <w:b/>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291.06</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267.91</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工资福利支出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261.82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261.82</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基本工资</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97.50</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97.50</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30102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津贴补贴</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53.68</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53.68</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30103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奖金</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24.28</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24.28</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30108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机关事业单位基本养老保险缴费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26.92</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30110</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职工基本医疗保险缴费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16.25</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16.25</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30112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其他社会保障缴费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3.77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3.77</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30113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住房公积金</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13.46</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30199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其他工资福利支出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25.96</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25.96</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商品和服务支出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23.14</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办公费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3.15</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30228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工会经费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1.89</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30231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公务用车运行维护费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3.60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30239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其他交通费用</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14.16</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30299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其他商品和服务支出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0.34</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对个人和家庭的补助</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6.10</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6.10</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30302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退休费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6.07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6.07</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30309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奖励金</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0.02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0.02</w:t>
            </w:r>
          </w:p>
        </w:tc>
        <w:tc>
          <w:tcPr>
            <w:tcW w:w="833" w:type="pct"/>
            <w:vAlign w:val="center"/>
          </w:tcPr>
          <w:p>
            <w:pPr>
              <w:jc w:val="right"/>
              <w:rPr>
                <w:rFonts w:ascii="方正书宋_GBK" w:hAnsi="方正书宋_GBK" w:eastAsia="方正书宋_GBK" w:cs="方正书宋_GBK"/>
                <w:lang w:eastAsia="uk-UA"/>
              </w:rPr>
            </w:pP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单位预算政府基金预算财政拨款支出表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426001昌黎县应急管理局本级</w:t>
            </w:r>
          </w:p>
        </w:tc>
        <w:tc>
          <w:tcPr>
            <w:tcW w:w="833"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666" w:type="pct"/>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666"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功能分类科目</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基本支出</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科目编码</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p>
        </w:tc>
        <w:tc>
          <w:tcPr>
            <w:tcW w:w="833" w:type="pct"/>
            <w:vAlign w:val="center"/>
          </w:tcPr>
          <w:p>
            <w:pPr>
              <w:jc w:val="left"/>
              <w:rPr>
                <w:rFonts w:ascii="方正书宋_GBK" w:hAnsi="方正书宋_GBK" w:eastAsia="方正书宋_GBK" w:cs="方正书宋_GBK"/>
                <w:lang w:eastAsia="uk-UA"/>
              </w:rPr>
            </w:pPr>
          </w:p>
        </w:tc>
        <w:tc>
          <w:tcPr>
            <w:tcW w:w="833" w:type="pct"/>
            <w:vAlign w:val="center"/>
          </w:tcPr>
          <w:p>
            <w:pPr>
              <w:jc w:val="lef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bl>
    <w:p>
      <w:pPr>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lang w:eastAsia="uk-UA"/>
        </w:rPr>
        <w:t>注：无政府基金预算财政拨款预算，空表列示。</w:t>
      </w: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426001昌黎县应急管理局本级</w:t>
            </w:r>
          </w:p>
        </w:tc>
        <w:tc>
          <w:tcPr>
            <w:tcW w:w="833"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666" w:type="pct"/>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666"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功能分类科目</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基本支出</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科目编码</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p>
        </w:tc>
        <w:tc>
          <w:tcPr>
            <w:tcW w:w="833" w:type="pct"/>
            <w:vAlign w:val="center"/>
          </w:tcPr>
          <w:p>
            <w:pPr>
              <w:jc w:val="left"/>
              <w:rPr>
                <w:rFonts w:ascii="方正书宋_GBK" w:hAnsi="方正书宋_GBK" w:eastAsia="方正书宋_GBK" w:cs="方正书宋_GBK"/>
                <w:lang w:eastAsia="uk-UA"/>
              </w:rPr>
            </w:pPr>
          </w:p>
        </w:tc>
        <w:tc>
          <w:tcPr>
            <w:tcW w:w="833" w:type="pct"/>
            <w:vAlign w:val="center"/>
          </w:tcPr>
          <w:p>
            <w:pPr>
              <w:jc w:val="lef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bl>
    <w:p>
      <w:pPr>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lang w:eastAsia="uk-UA"/>
        </w:rPr>
        <w:t>注：无国有资本经营预算财政拨款预算，空表列示。</w:t>
      </w: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单位预算财政拨款“三公”经费支出表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426001昌黎县应急管理局本级</w:t>
            </w:r>
          </w:p>
        </w:tc>
        <w:tc>
          <w:tcPr>
            <w:tcW w:w="833"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666" w:type="pct"/>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3333" w:type="pct"/>
            <w:gridSpan w:val="4"/>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一般公共预算              财政拨款</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政府性基金                  预算拨款</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p>
            <w:pPr>
              <w:jc w:val="center"/>
              <w:rPr>
                <w:rFonts w:ascii="方正书宋_GBK" w:hAnsi="方正书宋_GBK" w:eastAsia="方正书宋_GBK" w:cs="方正书宋_GBK"/>
                <w:b/>
                <w:lang w:eastAsia="uk-UA"/>
              </w:rPr>
            </w:pP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3.60</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3.60</w:t>
            </w:r>
          </w:p>
        </w:tc>
        <w:tc>
          <w:tcPr>
            <w:tcW w:w="833" w:type="pct"/>
            <w:vAlign w:val="center"/>
          </w:tcPr>
          <w:p>
            <w:pPr>
              <w:jc w:val="right"/>
              <w:rPr>
                <w:rFonts w:ascii="方正书宋_GBK" w:hAnsi="方正书宋_GBK" w:eastAsia="方正书宋_GBK" w:cs="方正书宋_GBK"/>
                <w:b/>
                <w:lang w:eastAsia="uk-UA"/>
              </w:rPr>
            </w:pPr>
          </w:p>
        </w:tc>
        <w:tc>
          <w:tcPr>
            <w:tcW w:w="833" w:type="pct"/>
            <w:vAlign w:val="center"/>
          </w:tcPr>
          <w:p>
            <w:pPr>
              <w:jc w:val="right"/>
              <w:rPr>
                <w:rFonts w:ascii="方正书宋_GBK" w:hAnsi="方正书宋_GBK" w:eastAsia="方正书宋_GBK" w:cs="方正书宋_GBK"/>
                <w:b/>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“三公”经费小计</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3.60</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3.60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一、因公出国（境）费</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 xml:space="preserve">    其中：教学科研人员因公出国（境）</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 xml:space="preserve">                 其他因公出国（境）费   </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二、公务用车购置及运维费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3.60</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3.60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 xml:space="preserve">    其中：公务用车购置费</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 xml:space="preserve">                公务用车运行维护费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3.60</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3.60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三、公务接待费</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bl>
    <w:p>
      <w:pPr>
        <w:sectPr>
          <w:pgSz w:w="16840" w:h="11900" w:orient="landscape"/>
          <w:pgMar w:top="1361" w:right="1020" w:bottom="1361"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44"/>
          <w:lang w:eastAsia="uk-UA"/>
        </w:rPr>
        <w:t>昌黎县应急管理局本级2023年单位预算信息公开情况说明</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按照《预算法》、《地方预决算公开操作规程》和《关于进一步推进预算公开工作的实施意见》规定，现</w:t>
      </w:r>
      <w:r>
        <w:rPr>
          <w:rFonts w:hint="eastAsia" w:ascii="Times New Roman" w:hAnsi="Times New Roman" w:eastAsia="方正仿宋_GBK" w:cs="Times New Roman"/>
          <w:color w:val="000000"/>
          <w:kern w:val="0"/>
          <w:sz w:val="28"/>
        </w:rPr>
        <w:t>将</w:t>
      </w:r>
      <w:r>
        <w:rPr>
          <w:rFonts w:ascii="Times New Roman" w:hAnsi="Times New Roman" w:eastAsia="方正仿宋_GBK" w:cs="Times New Roman"/>
          <w:color w:val="000000"/>
          <w:kern w:val="0"/>
          <w:sz w:val="28"/>
          <w:lang w:eastAsia="uk-UA"/>
        </w:rPr>
        <w:t>昌黎县应急管理局本级2023年单位预算公开如下：</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一、单位职责及机构设置情况</w:t>
      </w:r>
    </w:p>
    <w:p>
      <w:pPr>
        <w:widowControl/>
        <w:ind w:firstLine="640"/>
        <w:jc w:val="left"/>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32"/>
          <w:lang w:eastAsia="uk-UA"/>
        </w:rPr>
        <w:t>单位职责：</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1、负责应急管理工作，指导各级各部门应对安全生产类、自然灾害类等突发事件和综合防灾减灾救灾工作。负责安全生产综合监督管理和工矿商贸行业安全生产监督管理工作。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2、落实应急管理、安全生产等政策规定，组织编制县应急体系建设、安全生产和综合防灾减灾规划，起草政府规章草案。</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3、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4、牵头建立统一的全县应急管理信息系统，负责信息传输渠道的规划和布局，建立监测预警和灾情报告制度，健全自然灾害信息资源获取和共享机制，依法统一发布灾情。</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5、组织指导协调安全生产类、自然灾害类等突发事件应急救援，承担县应对重大灾害指挥部工作，综合研判突发事件发展态势并提出应对建议，协助县委、县政府指定的负责同志组织灾害应急处置工作。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6、统一协调指挥各类应急专业队伍，建立应急协调联动机制，推进指挥平台对接。衔接解放军和武警部队参与应急救援工作。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7、统筹应急救援力量建设，负责消防、抗洪抢险、地震和地质灾害救援、生产安全事故救援等专业应急</w:t>
      </w:r>
      <w:r>
        <w:rPr>
          <w:rFonts w:hint="eastAsia" w:ascii="Times New Roman" w:hAnsi="Times New Roman" w:eastAsia="方正仿宋_GBK" w:cs="Times New Roman"/>
          <w:sz w:val="28"/>
          <w:lang w:eastAsia="zh-CN"/>
        </w:rPr>
        <w:t>救援</w:t>
      </w:r>
      <w:r>
        <w:rPr>
          <w:rFonts w:ascii="Times New Roman" w:hAnsi="Times New Roman" w:eastAsia="方正仿宋_GBK" w:cs="Times New Roman"/>
          <w:sz w:val="28"/>
          <w:lang w:eastAsia="uk-UA"/>
        </w:rPr>
        <w:t>力量建设。管理县综合性应急救援队伍，指导各级及社会应急救援力量建设。</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8、组织协调消防工作。指导各级消防监督、火灾预防、火灾扑救等工作。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9、指导协调森林火灾、水旱灾害、地震和地质灾害等防治工作，负责自然灾害综合监测预警工作，指导开展自然灾害综合风险评估工作。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10、组织协调灾害救助工作。组织指导灾情核查、损失评估、救灾捐赠工作，管理、分配县救灾款物并监督使用。</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11、依法行使县安委会监督管理职权，指导协调、监督检查县有关部门和各乡镇政府的安全生产工作。组织开展安全生产巡查、考核工作。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12、按照分级、属地原则，依法监督检查工矿商贸生产经营单位贯彻执行安全生产法律法规情况，及其安全生产条件和有关设备(特种设备除外)、材料、劳动防护用品的安全生产管理工作。负责监督管理工矿商贸行业县属企业和中央、省、市驻昌企业的安全生产工作。负责危险化学品安全监督管理综合工作和烟花爆竹安全生产监督管理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13、依法组织指导生产安全事故调查处理，监督事故查处和责任追究落实情况。组织开展自然灾害类突发事件的调查评估工作。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14、制定应急物资储备和应急救援装备规划并组织实施，会同县发改局（县粮食和物资储备局）等部门建立健全应急物资信息平台和调拨制度，在救灾时统一调度。</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15、负责应急管理、安全生产宣传教育和培训工作，组织指导应急管理、安全生产的科学技术研究、推广应用和信息化建设工作。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16、负责组织指导协调和监督全县安全生产行政执法工作，组织开展对县属企业及驻昌中央、省、市企业的执法检查，组织开展对安全生产重点企业的执法检查。</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17、组织开展应急管理方面的对外交流与合作。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18、 负责贯彻落实国家、省、市防震减灾工作方针政策、法律法规和行业标准，贯彻执行国家、省、市地震监测预报制度；负责地震监测和震情信息发布工作；负责会同有关部门拟订全县防震减灾规划，参与制定地震灾区重建规划。</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19、完成县委、县政府交办的其他任务。</w:t>
      </w:r>
    </w:p>
    <w:p>
      <w:pPr>
        <w:widowControl/>
        <w:ind w:firstLine="640"/>
        <w:jc w:val="left"/>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32"/>
          <w:lang w:eastAsia="uk-UA"/>
        </w:rPr>
        <w:t>机构设置：</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2"/>
          <w:lang w:eastAsia="uk-UA"/>
        </w:rPr>
        <w:t>单位机构设置情况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单位名称</w:t>
            </w:r>
          </w:p>
        </w:tc>
        <w:tc>
          <w:tcPr>
            <w:tcW w:w="1250"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单位性质</w:t>
            </w:r>
          </w:p>
        </w:tc>
        <w:tc>
          <w:tcPr>
            <w:tcW w:w="1250"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单位规格</w:t>
            </w:r>
          </w:p>
        </w:tc>
        <w:tc>
          <w:tcPr>
            <w:tcW w:w="1250"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昌黎县应急管理局本级</w:t>
            </w:r>
          </w:p>
        </w:tc>
        <w:tc>
          <w:tcPr>
            <w:tcW w:w="1250"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行政</w:t>
            </w:r>
          </w:p>
        </w:tc>
        <w:tc>
          <w:tcPr>
            <w:tcW w:w="1250"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正科级</w:t>
            </w:r>
          </w:p>
        </w:tc>
        <w:tc>
          <w:tcPr>
            <w:tcW w:w="1250"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财政拨款</w:t>
            </w:r>
          </w:p>
        </w:tc>
      </w:tr>
    </w:tbl>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二、单位预算安排的总体情况</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按照预算管理有关规定，目前我</w:t>
      </w:r>
      <w:r>
        <w:rPr>
          <w:rFonts w:hint="eastAsia" w:cs="Times New Roman" w:asciiTheme="minorEastAsia" w:hAnsiTheme="minorEastAsia"/>
          <w:sz w:val="28"/>
        </w:rPr>
        <w:t>县</w:t>
      </w:r>
      <w:r>
        <w:rPr>
          <w:rFonts w:ascii="Times New Roman" w:hAnsi="Times New Roman" w:eastAsia="方正仿宋_GBK" w:cs="Times New Roman"/>
          <w:sz w:val="28"/>
          <w:lang w:eastAsia="uk-UA"/>
        </w:rPr>
        <w:t>单位预算的编制实行综合预算制度，即全部收入和支出都反映在预算中。</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 xml:space="preserve">2023年单位预算安排291.06万元（其中：一般公共预算拨款291.06万元，政府性基金预算拨款0万元），上年结转0万元。 </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1、收入说明</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反映本单位当年全部收入。2023年预算收入291.06万元，一般公共预算拨款291.06万元。</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2、支出说明</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收支预算总表支出栏、基本支出表、项目支出表按经济分类和支出功能分类科目编制，反映</w:t>
      </w:r>
      <w:r>
        <w:rPr>
          <w:rFonts w:hint="eastAsia" w:ascii="Times New Roman" w:hAnsi="Times New Roman" w:eastAsia="方正仿宋_GBK" w:cs="Times New Roman"/>
          <w:sz w:val="28"/>
        </w:rPr>
        <w:t>昌黎县应急管理局</w:t>
      </w:r>
      <w:r>
        <w:rPr>
          <w:rFonts w:ascii="Times New Roman" w:hAnsi="Times New Roman" w:eastAsia="方正仿宋_GBK" w:cs="Times New Roman"/>
          <w:sz w:val="28"/>
          <w:lang w:eastAsia="uk-UA"/>
        </w:rPr>
        <w:t>年度单位预算中支出预算的总体情况。2023年我单位预算总支出为291.06万元，其中：基本支出为291.06万元（包括人员经费267.92万元，公用经费23.14万元），项目支出0万元。</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3、比上年增减情况</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反映单位与上年比较的增减变化情况。2023年预算收支安排291.06万元，较2022年预算增加92.9万元，其中：基本支出增加92.9万元，主要原因为在职人员变动及人员工资增加；本年没有项目支出，以上年持平。</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三、机关运行经费安排情况</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2023年我单位日常公用经费支出预算23.14万元。其中：办公费3.15万元、公务用车运行维护费3.6万元、工会经费1.89万元、其他交通费14.16万元、其他商品和服务支出0.34万元。</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四、财政拨款“三公”经费预算情况及增减变化原因</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2023年单位预算三公经费预算安排3.6万元，具体如下：</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因公出国（境）费用预算安排0万元;</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 xml:space="preserve">公务用车购置及运行维护费预算安排合计3.6万元（其中：公务用车购置安排0万元，公务用车运行维护费安排3.6万元）; </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公务接待费预算安排0万元。</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与2022年“三公”经费预算安排相比，无增减变化。</w:t>
      </w:r>
    </w:p>
    <w:p>
      <w:pPr>
        <w:numPr>
          <w:ilvl w:val="0"/>
          <w:numId w:val="1"/>
        </w:numPr>
        <w:spacing w:before="10" w:after="10"/>
        <w:ind w:firstLine="640"/>
        <w:jc w:val="left"/>
        <w:outlineLvl w:val="5"/>
        <w:rPr>
          <w:rFonts w:ascii="黑体" w:hAnsi="黑体" w:eastAsia="黑体" w:cs="黑体"/>
          <w:color w:val="000000"/>
          <w:kern w:val="0"/>
          <w:sz w:val="32"/>
          <w:lang w:eastAsia="uk-UA"/>
        </w:rPr>
      </w:pPr>
      <w:r>
        <w:rPr>
          <w:rFonts w:ascii="黑体" w:hAnsi="黑体" w:eastAsia="黑体" w:cs="黑体"/>
          <w:color w:val="000000"/>
          <w:kern w:val="0"/>
          <w:sz w:val="32"/>
          <w:lang w:eastAsia="uk-UA"/>
        </w:rPr>
        <w:t>预算绩效信息</w:t>
      </w:r>
    </w:p>
    <w:p>
      <w:pPr>
        <w:spacing w:line="500" w:lineRule="exact"/>
        <w:ind w:firstLine="560"/>
        <w:jc w:val="left"/>
        <w:rPr>
          <w:rFonts w:ascii="Times New Roman" w:hAnsi="Times New Roman" w:eastAsia="方正仿宋_GBK" w:cs="Times New Roman"/>
          <w:sz w:val="28"/>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rPr>
        <w:t>我单位2023年无预算项目，特此说明。</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六、政府采购预算情况</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2023年，昌黎县应急管理局本级安排政府采购预算0.00万元。具体内容见下表。</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426001昌黎县应急管理局本级</w:t>
            </w:r>
          </w:p>
        </w:tc>
        <w:tc>
          <w:tcPr>
            <w:tcW w:w="8674" w:type="dxa"/>
            <w:gridSpan w:val="9"/>
            <w:tcBorders>
              <w:top w:val="single" w:color="FFFFFF" w:sz="6" w:space="0"/>
              <w:left w:val="single" w:color="FFFFFF" w:sz="6" w:space="0"/>
              <w:right w:val="single" w:color="FFFFFF" w:sz="6" w:space="0"/>
            </w:tcBorders>
            <w:vAlign w:val="center"/>
          </w:tcPr>
          <w:p>
            <w:pPr>
              <w:jc w:val="right"/>
              <w:rPr>
                <w:rFonts w:ascii="方正书宋_GBK" w:hAnsi="方正书宋_GBK" w:eastAsia="方正书宋_GBK" w:cs="方正书宋_GBK"/>
                <w:sz w:val="24"/>
                <w:lang w:eastAsia="uk-UA"/>
              </w:rPr>
            </w:pPr>
            <w:r>
              <w:rPr>
                <w:rFonts w:ascii="方正书宋_GBK" w:hAnsi="方正书宋_GBK" w:eastAsia="方正书宋_GBK" w:cs="方正书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政府采购项目来源</w:t>
            </w:r>
          </w:p>
        </w:tc>
        <w:tc>
          <w:tcPr>
            <w:tcW w:w="1134"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采购物品名称</w:t>
            </w:r>
          </w:p>
        </w:tc>
        <w:tc>
          <w:tcPr>
            <w:tcW w:w="1134"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政府采购目录序号</w:t>
            </w:r>
          </w:p>
        </w:tc>
        <w:tc>
          <w:tcPr>
            <w:tcW w:w="709"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计量  单位</w:t>
            </w:r>
          </w:p>
        </w:tc>
        <w:tc>
          <w:tcPr>
            <w:tcW w:w="850"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数量</w:t>
            </w:r>
          </w:p>
        </w:tc>
        <w:tc>
          <w:tcPr>
            <w:tcW w:w="850"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单价</w:t>
            </w:r>
          </w:p>
        </w:tc>
        <w:tc>
          <w:tcPr>
            <w:tcW w:w="7710" w:type="dxa"/>
            <w:gridSpan w:val="8"/>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政府采购金额（当年部门预算安排资金）</w:t>
            </w:r>
          </w:p>
        </w:tc>
        <w:tc>
          <w:tcPr>
            <w:tcW w:w="964"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项目名称</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预算    资金</w:t>
            </w:r>
          </w:p>
        </w:tc>
        <w:tc>
          <w:tcPr>
            <w:tcW w:w="1134" w:type="dxa"/>
            <w:vMerge w:val="continue"/>
          </w:tcPr>
          <w:p>
            <w:pPr>
              <w:widowControl/>
              <w:jc w:val="left"/>
              <w:rPr>
                <w:rFonts w:ascii="Times New Roman" w:hAnsi="Times New Roman" w:eastAsia="Times New Roman"/>
                <w:kern w:val="0"/>
                <w:sz w:val="24"/>
                <w:lang w:eastAsia="uk-UA"/>
              </w:rPr>
            </w:pPr>
          </w:p>
        </w:tc>
        <w:tc>
          <w:tcPr>
            <w:tcW w:w="1134" w:type="dxa"/>
            <w:vMerge w:val="continue"/>
          </w:tcPr>
          <w:p>
            <w:pPr>
              <w:widowControl/>
              <w:jc w:val="left"/>
              <w:rPr>
                <w:rFonts w:ascii="Times New Roman" w:hAnsi="Times New Roman" w:eastAsia="Times New Roman"/>
                <w:kern w:val="0"/>
                <w:sz w:val="24"/>
                <w:lang w:eastAsia="uk-UA"/>
              </w:rPr>
            </w:pPr>
          </w:p>
        </w:tc>
        <w:tc>
          <w:tcPr>
            <w:tcW w:w="709" w:type="dxa"/>
            <w:vMerge w:val="continue"/>
          </w:tcPr>
          <w:p>
            <w:pPr>
              <w:widowControl/>
              <w:jc w:val="left"/>
              <w:rPr>
                <w:rFonts w:ascii="Times New Roman" w:hAnsi="Times New Roman" w:eastAsia="Times New Roman"/>
                <w:kern w:val="0"/>
                <w:sz w:val="24"/>
                <w:lang w:eastAsia="uk-UA"/>
              </w:rPr>
            </w:pPr>
          </w:p>
        </w:tc>
        <w:tc>
          <w:tcPr>
            <w:tcW w:w="850" w:type="dxa"/>
            <w:vMerge w:val="continue"/>
          </w:tcPr>
          <w:p>
            <w:pPr>
              <w:widowControl/>
              <w:jc w:val="left"/>
              <w:rPr>
                <w:rFonts w:ascii="Times New Roman" w:hAnsi="Times New Roman" w:eastAsia="Times New Roman"/>
                <w:kern w:val="0"/>
                <w:sz w:val="24"/>
                <w:lang w:eastAsia="uk-UA"/>
              </w:rPr>
            </w:pPr>
          </w:p>
        </w:tc>
        <w:tc>
          <w:tcPr>
            <w:tcW w:w="850" w:type="dxa"/>
            <w:vMerge w:val="continue"/>
          </w:tcPr>
          <w:p>
            <w:pPr>
              <w:widowControl/>
              <w:jc w:val="left"/>
              <w:rPr>
                <w:rFonts w:ascii="Times New Roman" w:hAnsi="Times New Roman" w:eastAsia="Times New Roman"/>
                <w:kern w:val="0"/>
                <w:sz w:val="24"/>
                <w:lang w:eastAsia="uk-UA"/>
              </w:rPr>
            </w:pP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一般公共预算拨款</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基金预算拨款</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国有资本经营预算拨款</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财政专户核拨</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单位    资金</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财政拨    款结转</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非财政    拨款结    转结余</w:t>
            </w:r>
          </w:p>
        </w:tc>
        <w:tc>
          <w:tcPr>
            <w:tcW w:w="964" w:type="dxa"/>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lef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1134" w:type="dxa"/>
            <w:vAlign w:val="center"/>
          </w:tcPr>
          <w:p>
            <w:pPr>
              <w:jc w:val="left"/>
              <w:rPr>
                <w:rFonts w:ascii="方正书宋_GBK" w:hAnsi="方正书宋_GBK" w:eastAsia="方正书宋_GBK" w:cs="方正书宋_GBK"/>
                <w:lang w:eastAsia="uk-UA"/>
              </w:rPr>
            </w:pPr>
          </w:p>
        </w:tc>
        <w:tc>
          <w:tcPr>
            <w:tcW w:w="1134" w:type="dxa"/>
            <w:vAlign w:val="center"/>
          </w:tcPr>
          <w:p>
            <w:pPr>
              <w:jc w:val="left"/>
              <w:rPr>
                <w:rFonts w:ascii="方正书宋_GBK" w:hAnsi="方正书宋_GBK" w:eastAsia="方正书宋_GBK" w:cs="方正书宋_GBK"/>
                <w:lang w:eastAsia="uk-UA"/>
              </w:rPr>
            </w:pPr>
          </w:p>
        </w:tc>
        <w:tc>
          <w:tcPr>
            <w:tcW w:w="709" w:type="dxa"/>
            <w:vAlign w:val="center"/>
          </w:tcPr>
          <w:p>
            <w:pPr>
              <w:jc w:val="center"/>
              <w:rPr>
                <w:rFonts w:ascii="方正书宋_GBK" w:hAnsi="方正书宋_GBK" w:eastAsia="方正书宋_GBK" w:cs="方正书宋_GBK"/>
                <w:lang w:eastAsia="uk-UA"/>
              </w:rPr>
            </w:pPr>
          </w:p>
        </w:tc>
        <w:tc>
          <w:tcPr>
            <w:tcW w:w="850" w:type="dxa"/>
            <w:vAlign w:val="center"/>
          </w:tcPr>
          <w:p>
            <w:pPr>
              <w:jc w:val="right"/>
              <w:rPr>
                <w:rFonts w:ascii="方正书宋_GBK" w:hAnsi="方正书宋_GBK" w:eastAsia="方正书宋_GBK" w:cs="方正书宋_GBK"/>
                <w:lang w:eastAsia="uk-UA"/>
              </w:rPr>
            </w:pPr>
          </w:p>
        </w:tc>
        <w:tc>
          <w:tcPr>
            <w:tcW w:w="850"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r>
    </w:tbl>
    <w:p>
      <w:pPr>
        <w:widowControl/>
        <w:spacing w:line="500" w:lineRule="exact"/>
        <w:ind w:firstLine="420"/>
        <w:jc w:val="left"/>
        <w:rPr>
          <w:rFonts w:ascii="Times New Roman" w:hAnsi="Times New Roman" w:eastAsia="Times New Roman"/>
          <w:kern w:val="0"/>
          <w:sz w:val="24"/>
          <w:lang w:eastAsia="uk-UA"/>
        </w:rPr>
      </w:pPr>
      <w:r>
        <w:rPr>
          <w:rFonts w:ascii="方正书宋_GBK" w:hAnsi="方正书宋_GBK" w:eastAsia="方正书宋_GBK" w:cs="方正书宋_GBK"/>
          <w:color w:val="000000"/>
          <w:kern w:val="0"/>
          <w:lang w:eastAsia="uk-UA"/>
        </w:rPr>
        <w:t>注：同一采购目录序号的物品，其单价会因配置规格不同而变动，均符合资产配置标准。涉密采购事项按照相关规定执行。</w:t>
      </w:r>
    </w:p>
    <w:p>
      <w:pPr>
        <w:widowControl/>
        <w:ind w:firstLine="420"/>
        <w:jc w:val="left"/>
        <w:rPr>
          <w:rFonts w:ascii="Times New Roman" w:hAnsi="Times New Roman" w:eastAsia="Times New Roman"/>
          <w:kern w:val="0"/>
          <w:sz w:val="24"/>
          <w:lang w:eastAsia="uk-UA"/>
        </w:rPr>
      </w:pPr>
      <w:r>
        <w:rPr>
          <w:rFonts w:ascii="方正书宋_GBK" w:hAnsi="方正书宋_GBK" w:eastAsia="方正书宋_GBK" w:cs="方正书宋_GBK"/>
          <w:color w:val="000000"/>
          <w:kern w:val="0"/>
          <w:lang w:eastAsia="uk-UA"/>
        </w:rPr>
        <w:t>注：无政府采购预算，空表列示。</w:t>
      </w:r>
    </w:p>
    <w:p>
      <w:pPr>
        <w:widowControl/>
        <w:ind w:firstLine="64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32"/>
          <w:lang w:eastAsia="uk-UA"/>
        </w:rPr>
        <w:t xml:space="preserve"> </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七、国有资产信息</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昌黎县应急管理局本级上年末固定资产金额为190.88万元（详见下表）。本年度拟购置固定资产总额为0.00万元，已按要求列入政府采购预算，详见政府采购预算表。</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426001昌黎县应急管理局本级</w:t>
            </w:r>
          </w:p>
        </w:tc>
        <w:tc>
          <w:tcPr>
            <w:tcW w:w="5669" w:type="dxa"/>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数量</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资产总额</w:t>
            </w:r>
          </w:p>
        </w:tc>
        <w:tc>
          <w:tcPr>
            <w:tcW w:w="2835" w:type="dxa"/>
            <w:vAlign w:val="center"/>
          </w:tcPr>
          <w:p>
            <w:pPr>
              <w:jc w:val="center"/>
              <w:rPr>
                <w:rFonts w:ascii="方正书宋_GBK" w:hAnsi="方正书宋_GBK" w:eastAsia="方正书宋_GBK" w:cs="方正书宋_GBK"/>
                <w:lang w:eastAsia="uk-UA"/>
              </w:rPr>
            </w:pPr>
          </w:p>
        </w:tc>
        <w:tc>
          <w:tcPr>
            <w:tcW w:w="2835"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190.88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1、房屋（平方米）</w:t>
            </w:r>
          </w:p>
        </w:tc>
        <w:tc>
          <w:tcPr>
            <w:tcW w:w="2835" w:type="dxa"/>
            <w:vAlign w:val="center"/>
          </w:tcPr>
          <w:p>
            <w:pPr>
              <w:jc w:val="center"/>
              <w:rPr>
                <w:rFonts w:ascii="方正书宋_GBK" w:hAnsi="方正书宋_GBK" w:eastAsia="方正书宋_GBK" w:cs="方正书宋_GBK"/>
                <w:lang w:eastAsia="uk-UA"/>
              </w:rPr>
            </w:pPr>
          </w:p>
        </w:tc>
        <w:tc>
          <w:tcPr>
            <w:tcW w:w="2835"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　　其中：办公用房（平方米）</w:t>
            </w:r>
          </w:p>
        </w:tc>
        <w:tc>
          <w:tcPr>
            <w:tcW w:w="2835" w:type="dxa"/>
            <w:vAlign w:val="center"/>
          </w:tcPr>
          <w:p>
            <w:pPr>
              <w:jc w:val="center"/>
              <w:rPr>
                <w:rFonts w:ascii="方正书宋_GBK" w:hAnsi="方正书宋_GBK" w:eastAsia="方正书宋_GBK" w:cs="方正书宋_GBK"/>
                <w:lang w:eastAsia="uk-UA"/>
              </w:rPr>
            </w:pPr>
          </w:p>
        </w:tc>
        <w:tc>
          <w:tcPr>
            <w:tcW w:w="2835"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2、车辆（台、辆）</w:t>
            </w:r>
          </w:p>
        </w:tc>
        <w:tc>
          <w:tcPr>
            <w:tcW w:w="2835"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2835"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3、单价在20万元以上的设备</w:t>
            </w:r>
          </w:p>
        </w:tc>
        <w:tc>
          <w:tcPr>
            <w:tcW w:w="2835" w:type="dxa"/>
            <w:vAlign w:val="center"/>
          </w:tcPr>
          <w:p>
            <w:pPr>
              <w:jc w:val="center"/>
              <w:rPr>
                <w:rFonts w:ascii="方正书宋_GBK" w:hAnsi="方正书宋_GBK" w:eastAsia="方正书宋_GBK" w:cs="方正书宋_GBK"/>
                <w:lang w:eastAsia="uk-UA"/>
              </w:rPr>
            </w:pPr>
          </w:p>
        </w:tc>
        <w:tc>
          <w:tcPr>
            <w:tcW w:w="2835"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4、其他固定资产</w:t>
            </w:r>
          </w:p>
        </w:tc>
        <w:tc>
          <w:tcPr>
            <w:tcW w:w="2835" w:type="dxa"/>
            <w:vAlign w:val="center"/>
          </w:tcPr>
          <w:p>
            <w:pPr>
              <w:jc w:val="center"/>
              <w:rPr>
                <w:rFonts w:ascii="方正书宋_GBK" w:hAnsi="方正书宋_GBK" w:eastAsia="方正书宋_GBK" w:cs="方正书宋_GBK"/>
                <w:lang w:eastAsia="uk-UA"/>
              </w:rPr>
            </w:pPr>
          </w:p>
        </w:tc>
        <w:tc>
          <w:tcPr>
            <w:tcW w:w="2835"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121.09</w:t>
            </w:r>
          </w:p>
        </w:tc>
      </w:tr>
    </w:tbl>
    <w:p>
      <w:pPr>
        <w:widowControl/>
        <w:ind w:firstLine="64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32"/>
          <w:lang w:eastAsia="uk-UA"/>
        </w:rPr>
        <w:t xml:space="preserve"> </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八、名词解释</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1、</w:t>
      </w:r>
      <w:r>
        <w:rPr>
          <w:rFonts w:ascii="Times New Roman" w:hAnsi="Times New Roman" w:eastAsia="方正仿宋_GBK" w:cs="Times New Roman"/>
          <w:b/>
          <w:color w:val="000000"/>
          <w:kern w:val="0"/>
          <w:sz w:val="28"/>
          <w:lang w:eastAsia="uk-UA"/>
        </w:rPr>
        <w:t>一般公共预算拨款收入：</w:t>
      </w:r>
      <w:r>
        <w:rPr>
          <w:rFonts w:ascii="Times New Roman" w:hAnsi="Times New Roman" w:eastAsia="方正仿宋_GBK" w:cs="Times New Roman"/>
          <w:color w:val="000000"/>
          <w:kern w:val="0"/>
          <w:sz w:val="28"/>
          <w:lang w:eastAsia="uk-UA"/>
        </w:rPr>
        <w:t>指</w:t>
      </w:r>
      <w:r>
        <w:rPr>
          <w:rFonts w:hint="eastAsia" w:ascii="Times New Roman" w:hAnsi="Times New Roman" w:eastAsia="方正仿宋_GBK" w:cs="Times New Roman"/>
          <w:color w:val="000000"/>
          <w:kern w:val="0"/>
          <w:sz w:val="28"/>
        </w:rPr>
        <w:t>县</w:t>
      </w:r>
      <w:r>
        <w:rPr>
          <w:rFonts w:ascii="Times New Roman" w:hAnsi="Times New Roman" w:eastAsia="方正仿宋_GBK" w:cs="Times New Roman"/>
          <w:color w:val="000000"/>
          <w:kern w:val="0"/>
          <w:sz w:val="28"/>
          <w:lang w:eastAsia="uk-UA"/>
        </w:rPr>
        <w:t>级财政当年拨付的资金。</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2、</w:t>
      </w:r>
      <w:r>
        <w:rPr>
          <w:rFonts w:ascii="Times New Roman" w:hAnsi="Times New Roman" w:eastAsia="方正仿宋_GBK" w:cs="Times New Roman"/>
          <w:b/>
          <w:color w:val="000000"/>
          <w:kern w:val="0"/>
          <w:sz w:val="28"/>
          <w:lang w:eastAsia="uk-UA"/>
        </w:rPr>
        <w:t>事业收入：</w:t>
      </w:r>
      <w:r>
        <w:rPr>
          <w:rFonts w:ascii="Times New Roman" w:hAnsi="Times New Roman" w:eastAsia="方正仿宋_GBK" w:cs="Times New Roman"/>
          <w:color w:val="000000"/>
          <w:kern w:val="0"/>
          <w:sz w:val="28"/>
          <w:lang w:eastAsia="uk-UA"/>
        </w:rPr>
        <w:t>指事业单位开展专业业务活动及辅助活动所取得的收入。</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3、</w:t>
      </w:r>
      <w:r>
        <w:rPr>
          <w:rFonts w:ascii="Times New Roman" w:hAnsi="Times New Roman" w:eastAsia="方正仿宋_GBK" w:cs="Times New Roman"/>
          <w:b/>
          <w:color w:val="000000"/>
          <w:kern w:val="0"/>
          <w:sz w:val="28"/>
          <w:lang w:eastAsia="uk-UA"/>
        </w:rPr>
        <w:t>其他收入：</w:t>
      </w:r>
      <w:r>
        <w:rPr>
          <w:rFonts w:ascii="Times New Roman" w:hAnsi="Times New Roman" w:eastAsia="方正仿宋_GBK" w:cs="Times New Roman"/>
          <w:color w:val="000000"/>
          <w:kern w:val="0"/>
          <w:sz w:val="28"/>
          <w:lang w:eastAsia="uk-UA"/>
        </w:rPr>
        <w:t>指除“一般公共预算拨款收入”、“事业收入”等以外的收入。主要是按规定动用的租房收入、存款利息收入等。</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4、</w:t>
      </w:r>
      <w:r>
        <w:rPr>
          <w:rFonts w:ascii="Times New Roman" w:hAnsi="Times New Roman" w:eastAsia="方正仿宋_GBK" w:cs="Times New Roman"/>
          <w:b/>
          <w:color w:val="000000"/>
          <w:kern w:val="0"/>
          <w:sz w:val="28"/>
          <w:lang w:eastAsia="uk-UA"/>
        </w:rPr>
        <w:t>基本支出：</w:t>
      </w:r>
      <w:r>
        <w:rPr>
          <w:rFonts w:ascii="Times New Roman" w:hAnsi="Times New Roman" w:eastAsia="方正仿宋_GBK" w:cs="Times New Roman"/>
          <w:color w:val="000000"/>
          <w:kern w:val="0"/>
          <w:sz w:val="28"/>
          <w:lang w:eastAsia="uk-UA"/>
        </w:rPr>
        <w:t>指为保障机构正常运转、完成日常工作任务而发生的人员支出和公用支出。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5、</w:t>
      </w:r>
      <w:r>
        <w:rPr>
          <w:rFonts w:ascii="Times New Roman" w:hAnsi="Times New Roman" w:eastAsia="方正仿宋_GBK" w:cs="Times New Roman"/>
          <w:b/>
          <w:color w:val="000000"/>
          <w:kern w:val="0"/>
          <w:sz w:val="28"/>
          <w:lang w:eastAsia="uk-UA"/>
        </w:rPr>
        <w:t>项目支出：</w:t>
      </w:r>
      <w:r>
        <w:rPr>
          <w:rFonts w:ascii="Times New Roman" w:hAnsi="Times New Roman" w:eastAsia="方正仿宋_GBK" w:cs="Times New Roman"/>
          <w:color w:val="000000"/>
          <w:kern w:val="0"/>
          <w:sz w:val="28"/>
          <w:lang w:eastAsia="uk-UA"/>
        </w:rPr>
        <w:t>指在基本支出之外为完成特定行政任务和事业发展目标所发生的支出。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6、</w:t>
      </w:r>
      <w:r>
        <w:rPr>
          <w:rFonts w:ascii="Times New Roman" w:hAnsi="Times New Roman" w:eastAsia="方正仿宋_GBK" w:cs="Times New Roman"/>
          <w:b/>
          <w:color w:val="000000"/>
          <w:kern w:val="0"/>
          <w:sz w:val="28"/>
          <w:lang w:eastAsia="uk-UA"/>
        </w:rPr>
        <w:t>上缴上级支出：</w:t>
      </w:r>
      <w:r>
        <w:rPr>
          <w:rFonts w:ascii="Times New Roman" w:hAnsi="Times New Roman" w:eastAsia="方正仿宋_GBK" w:cs="Times New Roman"/>
          <w:color w:val="000000"/>
          <w:kern w:val="0"/>
          <w:sz w:val="28"/>
          <w:lang w:eastAsia="uk-UA"/>
        </w:rPr>
        <w:t>指下级单位上缴上级的支出。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7、</w:t>
      </w:r>
      <w:r>
        <w:rPr>
          <w:rFonts w:ascii="Times New Roman" w:hAnsi="Times New Roman" w:eastAsia="方正仿宋_GBK" w:cs="Times New Roman"/>
          <w:b/>
          <w:color w:val="000000"/>
          <w:kern w:val="0"/>
          <w:sz w:val="28"/>
          <w:lang w:eastAsia="uk-UA"/>
        </w:rPr>
        <w:t>“三公”经费：</w:t>
      </w:r>
      <w:r>
        <w:rPr>
          <w:rFonts w:ascii="Times New Roman" w:hAnsi="Times New Roman" w:eastAsia="方正仿宋_GBK" w:cs="Times New Roman"/>
          <w:color w:val="000000"/>
          <w:kern w:val="0"/>
          <w:sz w:val="28"/>
          <w:lang w:eastAsia="uk-UA"/>
        </w:rPr>
        <w:t>纳入</w:t>
      </w:r>
      <w:r>
        <w:rPr>
          <w:rFonts w:hint="eastAsia" w:ascii="Times New Roman" w:hAnsi="Times New Roman" w:eastAsia="方正仿宋_GBK" w:cs="Times New Roman"/>
          <w:color w:val="000000"/>
          <w:kern w:val="0"/>
          <w:sz w:val="28"/>
          <w:lang w:eastAsia="uk-UA"/>
        </w:rPr>
        <w:t>县</w:t>
      </w:r>
      <w:r>
        <w:rPr>
          <w:rFonts w:ascii="Times New Roman" w:hAnsi="Times New Roman" w:eastAsia="方正仿宋_GBK" w:cs="Times New Roman"/>
          <w:color w:val="000000"/>
          <w:kern w:val="0"/>
          <w:sz w:val="28"/>
          <w:lang w:eastAsia="uk-UA"/>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8、</w:t>
      </w:r>
      <w:r>
        <w:rPr>
          <w:rFonts w:ascii="Times New Roman" w:hAnsi="Times New Roman" w:eastAsia="方正仿宋_GBK" w:cs="Times New Roman"/>
          <w:b/>
          <w:color w:val="000000"/>
          <w:kern w:val="0"/>
          <w:sz w:val="28"/>
          <w:lang w:eastAsia="uk-UA"/>
        </w:rPr>
        <w:t>机关运行费：</w:t>
      </w:r>
      <w:r>
        <w:rPr>
          <w:rFonts w:ascii="Times New Roman" w:hAnsi="Times New Roman" w:eastAsia="方正仿宋_GBK" w:cs="Times New Roman"/>
          <w:color w:val="000000"/>
          <w:kern w:val="0"/>
          <w:sz w:val="28"/>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9、</w:t>
      </w:r>
      <w:r>
        <w:rPr>
          <w:rFonts w:ascii="Times New Roman" w:hAnsi="Times New Roman" w:eastAsia="方正仿宋_GBK" w:cs="Times New Roman"/>
          <w:b/>
          <w:color w:val="000000"/>
          <w:kern w:val="0"/>
          <w:sz w:val="28"/>
          <w:lang w:eastAsia="uk-UA"/>
        </w:rPr>
        <w:t>上年结转：</w:t>
      </w:r>
      <w:r>
        <w:rPr>
          <w:rFonts w:ascii="Times New Roman" w:hAnsi="Times New Roman" w:eastAsia="方正仿宋_GBK" w:cs="Times New Roman"/>
          <w:color w:val="000000"/>
          <w:kern w:val="0"/>
          <w:sz w:val="28"/>
          <w:lang w:eastAsia="uk-UA"/>
        </w:rPr>
        <w:t>指以前年度尚未完成、结转到本年仍按原规定用途继续使用的资金。</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10、</w:t>
      </w:r>
      <w:r>
        <w:rPr>
          <w:rFonts w:ascii="Times New Roman" w:hAnsi="Times New Roman" w:eastAsia="方正仿宋_GBK" w:cs="Times New Roman"/>
          <w:b/>
          <w:color w:val="000000"/>
          <w:kern w:val="0"/>
          <w:sz w:val="28"/>
          <w:lang w:eastAsia="uk-UA"/>
        </w:rPr>
        <w:t>事业单位经营支出：</w:t>
      </w:r>
      <w:r>
        <w:rPr>
          <w:rFonts w:ascii="Times New Roman" w:hAnsi="Times New Roman" w:eastAsia="方正仿宋_GBK" w:cs="Times New Roman"/>
          <w:color w:val="000000"/>
          <w:kern w:val="0"/>
          <w:sz w:val="28"/>
          <w:lang w:eastAsia="uk-UA"/>
        </w:rPr>
        <w:t>指事业单位在专业业务活动及其辅助活动之外开展非独立核算经营活动发生的支出。</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kern w:val="0"/>
          <w:sz w:val="28"/>
          <w:lang w:eastAsia="uk-UA"/>
        </w:rPr>
        <w:t>我单位无其他需要说明的事项。</w:t>
      </w:r>
    </w:p>
    <w:p>
      <w:pPr>
        <w:widowControl/>
        <w:jc w:val="center"/>
        <w:outlineLvl w:val="3"/>
        <w:rPr>
          <w:rFonts w:ascii="Times New Roman" w:hAnsi="Times New Roman" w:eastAsia="Times New Roman"/>
          <w:kern w:val="0"/>
          <w:sz w:val="24"/>
          <w:lang w:eastAsia="uk-UA"/>
        </w:rPr>
      </w:pPr>
      <w:bookmarkStart w:id="1" w:name="_Toc_4_4_0000000020"/>
      <w:r>
        <w:rPr>
          <w:rFonts w:ascii="方正小标宋_GBK" w:hAnsi="方正小标宋_GBK" w:eastAsia="方正小标宋_GBK" w:cs="方正小标宋_GBK"/>
          <w:color w:val="000000"/>
          <w:kern w:val="0"/>
          <w:sz w:val="44"/>
          <w:lang w:eastAsia="uk-UA"/>
        </w:rPr>
        <w:t>二、昌黎县应急管理局（事业）收支预算</w:t>
      </w:r>
      <w:bookmarkEnd w:id="1"/>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426003昌黎县应急管理局（事业）</w:t>
            </w:r>
          </w:p>
        </w:tc>
        <w:tc>
          <w:tcPr>
            <w:tcW w:w="2126" w:type="dxa"/>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6661" w:type="dxa"/>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6661" w:type="dxa"/>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收入</w:t>
            </w:r>
          </w:p>
        </w:tc>
        <w:tc>
          <w:tcPr>
            <w:tcW w:w="6661" w:type="dxa"/>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kern w:val="0"/>
                <w:sz w:val="24"/>
                <w:lang w:eastAsia="uk-UA"/>
              </w:rPr>
            </w:pP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2126"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预算数</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2126"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2126"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2126"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一、一般公共预算拨款收入</w:t>
            </w:r>
          </w:p>
        </w:tc>
        <w:tc>
          <w:tcPr>
            <w:tcW w:w="2126"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1253.39</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一、一般公共服务支出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二、政府性基金预算拨款收入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二、外交支出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三、国有资本经营预算拨款收入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三、国防支出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四、财政专户管理资金收入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四、公共安全支出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五、事业收入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五、教育支出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六、事业单位经营收入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六、科学技术支出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七、上级补助收入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七、文化旅游体育与传媒支出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八、附属单位上缴收入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八、社会保障和就业支出</w:t>
            </w:r>
          </w:p>
        </w:tc>
        <w:tc>
          <w:tcPr>
            <w:tcW w:w="2126"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九、其他收入</w:t>
            </w: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九、社会保险基金支出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十、卫生健康支出</w:t>
            </w:r>
          </w:p>
        </w:tc>
        <w:tc>
          <w:tcPr>
            <w:tcW w:w="2126"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十一、节能环保支出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十二、城乡社区支出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十三、农林水支出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十四、交通运输支出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15</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十五、资源勘探工业信息等支出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16</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十六、商业服务业等支出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17</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十七、金融支出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18</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十八、援助其他地区支出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19</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十九、自然资源海洋气象等支出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20</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二十、住房保障支出</w:t>
            </w:r>
          </w:p>
        </w:tc>
        <w:tc>
          <w:tcPr>
            <w:tcW w:w="2126"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21</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二十一、粮油物资储备支出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22</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二十二、国有资本经营预算支出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23</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二十三、灾害防治及应急管理支出</w:t>
            </w:r>
          </w:p>
        </w:tc>
        <w:tc>
          <w:tcPr>
            <w:tcW w:w="2126"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1437.66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24</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二十四、预备费</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25</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二十五、其他支出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26</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二十六、转移性支出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27</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二十七、债务还本支出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28</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二十八、债务付息支出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29</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二十九、债务发行费用支出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30</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三十、抗疫特别国债安排的支出</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31</w:t>
            </w:r>
          </w:p>
        </w:tc>
        <w:tc>
          <w:tcPr>
            <w:tcW w:w="4535" w:type="dxa"/>
            <w:vAlign w:val="center"/>
          </w:tcPr>
          <w:p>
            <w:pPr>
              <w:jc w:val="left"/>
              <w:rPr>
                <w:rFonts w:ascii="方正书宋_GBK" w:hAnsi="方正书宋_GBK" w:eastAsia="方正书宋_GBK" w:cs="方正书宋_GBK"/>
                <w:lang w:eastAsia="uk-UA"/>
              </w:rPr>
            </w:pPr>
          </w:p>
        </w:tc>
        <w:tc>
          <w:tcPr>
            <w:tcW w:w="2126" w:type="dxa"/>
            <w:vAlign w:val="center"/>
          </w:tcPr>
          <w:p>
            <w:pPr>
              <w:jc w:val="right"/>
              <w:rPr>
                <w:rFonts w:ascii="方正书宋_GBK" w:hAnsi="方正书宋_GBK" w:eastAsia="方正书宋_GBK" w:cs="方正书宋_GBK"/>
                <w:lang w:eastAsia="uk-UA"/>
              </w:rPr>
            </w:pP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三十一、人行科目</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32</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本年收入合计</w:t>
            </w:r>
          </w:p>
        </w:tc>
        <w:tc>
          <w:tcPr>
            <w:tcW w:w="2126" w:type="dxa"/>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1253.39</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本年支出合计</w:t>
            </w:r>
          </w:p>
        </w:tc>
        <w:tc>
          <w:tcPr>
            <w:tcW w:w="2126" w:type="dxa"/>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1549.16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33</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上年结转结余</w:t>
            </w:r>
          </w:p>
        </w:tc>
        <w:tc>
          <w:tcPr>
            <w:tcW w:w="2126" w:type="dxa"/>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295.77</w:t>
            </w:r>
          </w:p>
        </w:tc>
        <w:tc>
          <w:tcPr>
            <w:tcW w:w="45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年终结转结余</w:t>
            </w:r>
          </w:p>
        </w:tc>
        <w:tc>
          <w:tcPr>
            <w:tcW w:w="2126" w:type="dxa"/>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34</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收入总计</w:t>
            </w:r>
          </w:p>
        </w:tc>
        <w:tc>
          <w:tcPr>
            <w:tcW w:w="2126" w:type="dxa"/>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1549.16</w:t>
            </w:r>
          </w:p>
        </w:tc>
        <w:tc>
          <w:tcPr>
            <w:tcW w:w="45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支出总计</w:t>
            </w:r>
          </w:p>
        </w:tc>
        <w:tc>
          <w:tcPr>
            <w:tcW w:w="2126" w:type="dxa"/>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1549.16</w:t>
            </w: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426003昌黎县应急管理局（事业）</w:t>
            </w:r>
          </w:p>
        </w:tc>
        <w:tc>
          <w:tcPr>
            <w:tcW w:w="1153" w:type="pct"/>
            <w:gridSpan w:val="3"/>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923" w:type="pct"/>
            <w:gridSpan w:val="5"/>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769"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功能分类科目</w:t>
            </w:r>
          </w:p>
        </w:tc>
        <w:tc>
          <w:tcPr>
            <w:tcW w:w="384"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3076" w:type="pct"/>
            <w:gridSpan w:val="8"/>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本年收入</w:t>
            </w:r>
          </w:p>
        </w:tc>
        <w:tc>
          <w:tcPr>
            <w:tcW w:w="384"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pPr>
              <w:widowControl/>
              <w:jc w:val="left"/>
              <w:rPr>
                <w:rFonts w:ascii="Times New Roman" w:hAnsi="Times New Roman" w:eastAsia="Times New Roman"/>
                <w:kern w:val="0"/>
                <w:sz w:val="24"/>
                <w:lang w:eastAsia="uk-UA"/>
              </w:rPr>
            </w:pP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    编码</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384" w:type="pct"/>
            <w:vMerge w:val="continue"/>
          </w:tcPr>
          <w:p>
            <w:pPr>
              <w:widowControl/>
              <w:jc w:val="left"/>
              <w:rPr>
                <w:rFonts w:ascii="Times New Roman" w:hAnsi="Times New Roman" w:eastAsia="Times New Roman"/>
                <w:kern w:val="0"/>
                <w:sz w:val="24"/>
                <w:lang w:eastAsia="uk-UA"/>
              </w:rPr>
            </w:pP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小计</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财政拨款 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财政专户 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事业收入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经营收入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上级补助收入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附属单位上缴收入</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其他收入</w:t>
            </w:r>
          </w:p>
        </w:tc>
        <w:tc>
          <w:tcPr>
            <w:tcW w:w="384"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6</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7</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8</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9</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10</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11</w:t>
            </w: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384" w:type="pct"/>
            <w:vAlign w:val="center"/>
          </w:tcPr>
          <w:p>
            <w:pPr>
              <w:jc w:val="left"/>
              <w:rPr>
                <w:rFonts w:ascii="方正书宋_GBK" w:hAnsi="方正书宋_GBK" w:eastAsia="方正书宋_GBK" w:cs="方正书宋_GBK"/>
                <w:b/>
                <w:lang w:eastAsia="uk-UA"/>
              </w:rPr>
            </w:pPr>
          </w:p>
        </w:tc>
        <w:tc>
          <w:tcPr>
            <w:tcW w:w="384"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384"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1549.16</w:t>
            </w:r>
          </w:p>
        </w:tc>
        <w:tc>
          <w:tcPr>
            <w:tcW w:w="384"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1253.39</w:t>
            </w:r>
          </w:p>
        </w:tc>
        <w:tc>
          <w:tcPr>
            <w:tcW w:w="384"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1253.39</w:t>
            </w: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p>
        </w:tc>
        <w:tc>
          <w:tcPr>
            <w:tcW w:w="384"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295.77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社会保障和就业支出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行政事业单位养老支出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2080505</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机关事业单位基本养老保险缴费支出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42.77</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42.77</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42.77</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2080506</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机关事业单位职业年金缴费支出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20.27</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20.27</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20.27</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卫生健康支出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行政事业单位医疗</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2101102</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事业单位医疗</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住房保障支出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住房改革支出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2210201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住房公积金</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灾害防治及应急管理支出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1437.66</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1141.89</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1141.89</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295.77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应急管理事务</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1046.27</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1046.27</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1046.27</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2240150</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事业运行</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1046.27</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1046.27</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1046.27</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15</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22407</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自然灾害救灾及恢复重建支出</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391.38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95.61</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95.61</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295.77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16</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2240703</w:t>
            </w:r>
          </w:p>
        </w:tc>
        <w:tc>
          <w:tcPr>
            <w:tcW w:w="384"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自然灾害救灾补助</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391.38</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95.61</w:t>
            </w: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95.61</w:t>
            </w: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p>
        </w:tc>
        <w:tc>
          <w:tcPr>
            <w:tcW w:w="384"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295.77</w:t>
            </w: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426003昌黎县应急管理局（事业）</w:t>
            </w:r>
          </w:p>
        </w:tc>
        <w:tc>
          <w:tcPr>
            <w:tcW w:w="1110" w:type="pct"/>
            <w:gridSpan w:val="2"/>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2222" w:type="pct"/>
            <w:gridSpan w:val="4"/>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111"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功能分类科目</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基本支出</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项目支出</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经营支出</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上解上级     支出</w:t>
            </w:r>
          </w:p>
        </w:tc>
        <w:tc>
          <w:tcPr>
            <w:tcW w:w="55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pPr>
              <w:widowControl/>
              <w:jc w:val="left"/>
              <w:rPr>
                <w:rFonts w:ascii="Times New Roman" w:hAnsi="Times New Roman" w:eastAsia="Times New Roman"/>
                <w:kern w:val="0"/>
                <w:sz w:val="24"/>
                <w:lang w:eastAsia="uk-UA"/>
              </w:rPr>
            </w:pP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    编码</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555" w:type="pct"/>
            <w:vMerge w:val="continue"/>
          </w:tcPr>
          <w:p>
            <w:pPr>
              <w:widowControl/>
              <w:jc w:val="left"/>
              <w:rPr>
                <w:rFonts w:ascii="Times New Roman" w:hAnsi="Times New Roman" w:eastAsia="Times New Roman"/>
                <w:kern w:val="0"/>
                <w:sz w:val="24"/>
                <w:lang w:eastAsia="uk-UA"/>
              </w:rPr>
            </w:pPr>
          </w:p>
        </w:tc>
        <w:tc>
          <w:tcPr>
            <w:tcW w:w="555" w:type="pct"/>
            <w:vMerge w:val="continue"/>
          </w:tcPr>
          <w:p>
            <w:pPr>
              <w:widowControl/>
              <w:jc w:val="left"/>
              <w:rPr>
                <w:rFonts w:ascii="Times New Roman" w:hAnsi="Times New Roman" w:eastAsia="Times New Roman"/>
                <w:kern w:val="0"/>
                <w:sz w:val="24"/>
                <w:lang w:eastAsia="uk-UA"/>
              </w:rPr>
            </w:pPr>
          </w:p>
        </w:tc>
        <w:tc>
          <w:tcPr>
            <w:tcW w:w="555" w:type="pct"/>
            <w:vMerge w:val="continue"/>
          </w:tcPr>
          <w:p>
            <w:pPr>
              <w:widowControl/>
              <w:jc w:val="left"/>
              <w:rPr>
                <w:rFonts w:ascii="Times New Roman" w:hAnsi="Times New Roman" w:eastAsia="Times New Roman"/>
                <w:kern w:val="0"/>
                <w:sz w:val="24"/>
                <w:lang w:eastAsia="uk-UA"/>
              </w:rPr>
            </w:pPr>
          </w:p>
        </w:tc>
        <w:tc>
          <w:tcPr>
            <w:tcW w:w="555" w:type="pct"/>
            <w:vMerge w:val="continue"/>
          </w:tcPr>
          <w:p>
            <w:pPr>
              <w:widowControl/>
              <w:jc w:val="left"/>
              <w:rPr>
                <w:rFonts w:ascii="Times New Roman" w:hAnsi="Times New Roman" w:eastAsia="Times New Roman"/>
                <w:kern w:val="0"/>
                <w:sz w:val="24"/>
                <w:lang w:eastAsia="uk-UA"/>
              </w:rPr>
            </w:pPr>
          </w:p>
        </w:tc>
        <w:tc>
          <w:tcPr>
            <w:tcW w:w="555" w:type="pct"/>
            <w:vMerge w:val="continue"/>
          </w:tcPr>
          <w:p>
            <w:pPr>
              <w:widowControl/>
              <w:jc w:val="left"/>
              <w:rPr>
                <w:rFonts w:ascii="Times New Roman" w:hAnsi="Times New Roman" w:eastAsia="Times New Roman"/>
                <w:kern w:val="0"/>
                <w:sz w:val="24"/>
                <w:lang w:eastAsia="uk-UA"/>
              </w:rPr>
            </w:pPr>
          </w:p>
        </w:tc>
        <w:tc>
          <w:tcPr>
            <w:tcW w:w="555"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6</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7</w:t>
            </w: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555" w:type="pct"/>
            <w:vAlign w:val="center"/>
          </w:tcPr>
          <w:p>
            <w:pPr>
              <w:jc w:val="left"/>
              <w:rPr>
                <w:rFonts w:ascii="方正书宋_GBK" w:hAnsi="方正书宋_GBK" w:eastAsia="方正书宋_GBK" w:cs="方正书宋_GBK"/>
                <w:b/>
                <w:lang w:eastAsia="uk-UA"/>
              </w:rPr>
            </w:pPr>
          </w:p>
        </w:tc>
        <w:tc>
          <w:tcPr>
            <w:tcW w:w="55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55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1549.16</w:t>
            </w:r>
          </w:p>
        </w:tc>
        <w:tc>
          <w:tcPr>
            <w:tcW w:w="55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1078.63</w:t>
            </w:r>
          </w:p>
        </w:tc>
        <w:tc>
          <w:tcPr>
            <w:tcW w:w="55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470.53</w:t>
            </w:r>
          </w:p>
        </w:tc>
        <w:tc>
          <w:tcPr>
            <w:tcW w:w="555" w:type="pct"/>
            <w:vAlign w:val="center"/>
          </w:tcPr>
          <w:p>
            <w:pPr>
              <w:jc w:val="right"/>
              <w:rPr>
                <w:rFonts w:ascii="方正书宋_GBK" w:hAnsi="方正书宋_GBK" w:eastAsia="方正书宋_GBK" w:cs="方正书宋_GBK"/>
                <w:b/>
                <w:lang w:eastAsia="uk-UA"/>
              </w:rPr>
            </w:pPr>
          </w:p>
        </w:tc>
        <w:tc>
          <w:tcPr>
            <w:tcW w:w="555" w:type="pct"/>
            <w:vAlign w:val="center"/>
          </w:tcPr>
          <w:p>
            <w:pPr>
              <w:jc w:val="right"/>
              <w:rPr>
                <w:rFonts w:ascii="方正书宋_GBK" w:hAnsi="方正书宋_GBK" w:eastAsia="方正书宋_GBK" w:cs="方正书宋_GBK"/>
                <w:b/>
                <w:lang w:eastAsia="uk-UA"/>
              </w:rPr>
            </w:pPr>
          </w:p>
        </w:tc>
        <w:tc>
          <w:tcPr>
            <w:tcW w:w="555" w:type="pct"/>
            <w:vAlign w:val="center"/>
          </w:tcPr>
          <w:p>
            <w:pPr>
              <w:jc w:val="right"/>
              <w:rPr>
                <w:rFonts w:ascii="方正书宋_GBK" w:hAnsi="方正书宋_GBK" w:eastAsia="方正书宋_GBK" w:cs="方正书宋_GBK"/>
                <w:b/>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社会保障和就业支出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行政事业单位养老支出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2080505</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机关事业单位基本养老保险缴费支出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42.77</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42.77</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2080506</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机关事业单位职业年金缴费支出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20.27</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20.27</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卫生健康支出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行政事业单位医疗</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2101102</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事业单位医疗</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住房保障支出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住房改革支出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2210201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住房公积金</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灾害防治及应急管理支出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1437.66</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967.12</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470.53</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应急管理事务</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1046.27</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967.12</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79.15</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2240150</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事业运行</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1046.27</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967.12</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79.15</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15</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22407</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自然灾害救灾及恢复重建支出</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391.38</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391.38</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16</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2240703</w:t>
            </w:r>
          </w:p>
        </w:tc>
        <w:tc>
          <w:tcPr>
            <w:tcW w:w="55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自然灾害救灾补助</w:t>
            </w: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391.38</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391.38</w:t>
            </w: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c>
          <w:tcPr>
            <w:tcW w:w="555" w:type="pct"/>
            <w:vAlign w:val="center"/>
          </w:tcPr>
          <w:p>
            <w:pPr>
              <w:jc w:val="right"/>
              <w:rPr>
                <w:rFonts w:ascii="方正书宋_GBK" w:hAnsi="方正书宋_GBK" w:eastAsia="方正书宋_GBK" w:cs="方正书宋_GBK"/>
                <w:lang w:eastAsia="uk-UA"/>
              </w:rPr>
            </w:pP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426003昌黎县应急管理局（事业）</w:t>
            </w:r>
          </w:p>
        </w:tc>
        <w:tc>
          <w:tcPr>
            <w:tcW w:w="625"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2500" w:type="pct"/>
            <w:gridSpan w:val="4"/>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250"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收入</w:t>
            </w:r>
          </w:p>
        </w:tc>
        <w:tc>
          <w:tcPr>
            <w:tcW w:w="3125" w:type="pct"/>
            <w:gridSpan w:val="5"/>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pPr>
              <w:widowControl/>
              <w:jc w:val="left"/>
              <w:rPr>
                <w:rFonts w:ascii="Times New Roman" w:hAnsi="Times New Roman" w:eastAsia="Times New Roman"/>
                <w:kern w:val="0"/>
                <w:sz w:val="24"/>
                <w:lang w:eastAsia="uk-UA"/>
              </w:rPr>
            </w:pP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金额</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一般公共预算财政拨款</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政府性基金预算财政    拨款</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6</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一、一般公共预算拨款</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1253.39</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一、一般公共服务支出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二、政府性基金预算拨款</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二、外交支出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三、国有资本经营预算拨款</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三、国防支出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四、公共安全支出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五、教育支出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六、科学技术支出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七、文化旅游体育与传媒支出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八、社会保障和就业支出</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九、社会保险基金支出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十、卫生健康支出</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十一、节能环保支出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十二、城乡社区支出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十三、农林水支出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十四、交通运输支出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15</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十五、资源勘探工业信息等支出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16</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十六、商业服务业等支出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17</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十七、金融支出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18</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十八、援助其他地区支出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19</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十九、自然资源海洋气象等支出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20</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二十、住房保障支出</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21</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二十一、粮油物资储备支出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22</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二十二、国有资本经营预算支出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23</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二十三、灾害防治及应急管理支出</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1437.66</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1437.66</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24</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二十四、预备费</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25</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二十五、其他支出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26</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二十六、转移性支出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27</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二十七、债务还本支出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28</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二十八、债务付息支出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29</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二十九、债务发行费用支出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30</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三十、抗疫特别国债安排的支出</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31</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三十一、人行科目</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32</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本年收入合计</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1253.39</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本年支出合计</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1549.16</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1549.16</w:t>
            </w:r>
          </w:p>
        </w:tc>
        <w:tc>
          <w:tcPr>
            <w:tcW w:w="625" w:type="pct"/>
            <w:vAlign w:val="center"/>
          </w:tcPr>
          <w:p>
            <w:pPr>
              <w:jc w:val="right"/>
              <w:rPr>
                <w:rFonts w:ascii="方正书宋_GBK" w:hAnsi="方正书宋_GBK" w:eastAsia="方正书宋_GBK" w:cs="方正书宋_GBK"/>
                <w:b/>
                <w:lang w:eastAsia="uk-UA"/>
              </w:rPr>
            </w:pPr>
          </w:p>
        </w:tc>
        <w:tc>
          <w:tcPr>
            <w:tcW w:w="625" w:type="pct"/>
            <w:vAlign w:val="center"/>
          </w:tcPr>
          <w:p>
            <w:pPr>
              <w:jc w:val="right"/>
              <w:rPr>
                <w:rFonts w:ascii="方正书宋_GBK" w:hAnsi="方正书宋_GBK" w:eastAsia="方正书宋_GBK" w:cs="方正书宋_GBK"/>
                <w:b/>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33</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年初财政拨款结转和结余</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295.77</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年末财政拨款结转和结余</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34</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一、一般公共预算拨款</w:t>
            </w:r>
          </w:p>
        </w:tc>
        <w:tc>
          <w:tcPr>
            <w:tcW w:w="625"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295.77</w:t>
            </w: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35</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二、政府性基金预算拨款</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36</w:t>
            </w:r>
          </w:p>
        </w:tc>
        <w:tc>
          <w:tcPr>
            <w:tcW w:w="625"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三、国有资本经营预算拨款</w:t>
            </w: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lef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c>
          <w:tcPr>
            <w:tcW w:w="625"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37</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收入总计</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1549.16</w:t>
            </w:r>
          </w:p>
        </w:tc>
        <w:tc>
          <w:tcPr>
            <w:tcW w:w="625"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支出总计</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1549.16</w:t>
            </w:r>
          </w:p>
        </w:tc>
        <w:tc>
          <w:tcPr>
            <w:tcW w:w="625"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1549.16</w:t>
            </w:r>
          </w:p>
        </w:tc>
        <w:tc>
          <w:tcPr>
            <w:tcW w:w="625" w:type="pct"/>
            <w:vAlign w:val="center"/>
          </w:tcPr>
          <w:p>
            <w:pPr>
              <w:jc w:val="right"/>
              <w:rPr>
                <w:rFonts w:ascii="方正书宋_GBK" w:hAnsi="方正书宋_GBK" w:eastAsia="方正书宋_GBK" w:cs="方正书宋_GBK"/>
                <w:b/>
                <w:lang w:eastAsia="uk-UA"/>
              </w:rPr>
            </w:pPr>
          </w:p>
        </w:tc>
        <w:tc>
          <w:tcPr>
            <w:tcW w:w="625" w:type="pct"/>
            <w:vAlign w:val="center"/>
          </w:tcPr>
          <w:p>
            <w:pPr>
              <w:jc w:val="right"/>
              <w:rPr>
                <w:rFonts w:ascii="方正书宋_GBK" w:hAnsi="方正书宋_GBK" w:eastAsia="方正书宋_GBK" w:cs="方正书宋_GBK"/>
                <w:b/>
                <w:lang w:eastAsia="uk-UA"/>
              </w:rPr>
            </w:pP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426003昌黎县应急管理局（事业）</w:t>
            </w:r>
          </w:p>
        </w:tc>
        <w:tc>
          <w:tcPr>
            <w:tcW w:w="833"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666" w:type="pct"/>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666"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功能分类科目</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基本支出</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科目编码</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833" w:type="pct"/>
            <w:vAlign w:val="center"/>
          </w:tcPr>
          <w:p>
            <w:pPr>
              <w:jc w:val="left"/>
              <w:rPr>
                <w:rFonts w:ascii="方正书宋_GBK" w:hAnsi="方正书宋_GBK" w:eastAsia="方正书宋_GBK" w:cs="方正书宋_GBK"/>
                <w:b/>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1549.16</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1078.63</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470.53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社会保障和就业支出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行政事业单位养老支出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63.04</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2080505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机关事业单位基本养老保险缴费支出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42.77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42.77</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2080506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机关事业单位职业年金缴费支出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20.27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20.27</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卫生健康支出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行政事业单位医疗</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2101102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事业单位医疗</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27.08</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住房保障支出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住房改革支出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2210201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住房公积金</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灾害防治及应急管理支出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1437.66</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967.12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应急管理事务</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1046.27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967.12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79.15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2240150</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事业运行</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1046.27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967.12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79.15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自然灾害救灾及恢复重建支出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391.38</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391.38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2240703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自然灾害救灾补助</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391.38</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391.38</w:t>
            </w: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426003昌黎县应急管理局（事业）</w:t>
            </w:r>
          </w:p>
        </w:tc>
        <w:tc>
          <w:tcPr>
            <w:tcW w:w="833"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666" w:type="pct"/>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666"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支出部门经济分类科目</w:t>
            </w:r>
          </w:p>
        </w:tc>
        <w:tc>
          <w:tcPr>
            <w:tcW w:w="2499" w:type="pct"/>
            <w:gridSpan w:val="3"/>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科目编码</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人员经费</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833" w:type="pct"/>
            <w:vAlign w:val="center"/>
          </w:tcPr>
          <w:p>
            <w:pPr>
              <w:jc w:val="left"/>
              <w:rPr>
                <w:rFonts w:ascii="方正书宋_GBK" w:hAnsi="方正书宋_GBK" w:eastAsia="方正书宋_GBK" w:cs="方正书宋_GBK"/>
                <w:b/>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1078.63</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895.04</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183.59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工资福利支出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889.76</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889.76</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基本工资</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164.33</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164.33</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30102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津贴补贴</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18.37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18.37</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30103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奖金</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28.27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28.27</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30107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绩效工资</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71.91</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71.91</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30108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机关事业单位基本养老保险缴费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42.77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42.77</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30109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职业年金缴费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20.27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20.27</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30110</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职工基本医疗保险缴费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26.42</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26.42</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10</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30112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其他社会保障缴费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7.88</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7.88</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30113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住房公积金</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21.38</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30199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其他工资福利支出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488.15</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488.15</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商品和服务支出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183.59</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183.59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30201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办公费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6.15</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30205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水费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30206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电费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8.00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30207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邮电费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56.10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56.10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30208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取暖费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20.00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30211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差旅费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7.00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20</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30213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维修(护)费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15.00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21</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30217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公务接待费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30224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被装购置费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18.95</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30226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劳务费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8.00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30228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工会经费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9.99</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30239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其他交通费用</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14.40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30299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其他商品和服务支出</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16.00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对个人和家庭的补助</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5.27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5.27</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30302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退休费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4.41</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4.41</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30305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生活补助</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0.79</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0.79</w:t>
            </w: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30</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30309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奖励金</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0.07</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0.07</w:t>
            </w:r>
          </w:p>
        </w:tc>
        <w:tc>
          <w:tcPr>
            <w:tcW w:w="833" w:type="pct"/>
            <w:vAlign w:val="center"/>
          </w:tcPr>
          <w:p>
            <w:pPr>
              <w:jc w:val="right"/>
              <w:rPr>
                <w:rFonts w:ascii="方正书宋_GBK" w:hAnsi="方正书宋_GBK" w:eastAsia="方正书宋_GBK" w:cs="方正书宋_GBK"/>
                <w:lang w:eastAsia="uk-UA"/>
              </w:rPr>
            </w:pPr>
          </w:p>
        </w:tc>
      </w:tr>
    </w:tbl>
    <w:p>
      <w:pPr>
        <w:sectPr>
          <w:pgSz w:w="16840" w:h="11900" w:orient="landscape"/>
          <w:pgMar w:top="1361" w:right="1020" w:bottom="1134"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单位预算政府基金预算财政拨款支出表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426003昌黎县应急管理局（事业）</w:t>
            </w:r>
          </w:p>
        </w:tc>
        <w:tc>
          <w:tcPr>
            <w:tcW w:w="833"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666" w:type="pct"/>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666"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功能分类科目</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基本支出</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科目编码</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p>
        </w:tc>
        <w:tc>
          <w:tcPr>
            <w:tcW w:w="833" w:type="pct"/>
            <w:vAlign w:val="center"/>
          </w:tcPr>
          <w:p>
            <w:pPr>
              <w:jc w:val="left"/>
              <w:rPr>
                <w:rFonts w:ascii="方正书宋_GBK" w:hAnsi="方正书宋_GBK" w:eastAsia="方正书宋_GBK" w:cs="方正书宋_GBK"/>
                <w:lang w:eastAsia="uk-UA"/>
              </w:rPr>
            </w:pPr>
          </w:p>
        </w:tc>
        <w:tc>
          <w:tcPr>
            <w:tcW w:w="833" w:type="pct"/>
            <w:vAlign w:val="center"/>
          </w:tcPr>
          <w:p>
            <w:pPr>
              <w:jc w:val="lef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bl>
    <w:p>
      <w:pPr>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lang w:eastAsia="uk-UA"/>
        </w:rPr>
        <w:t>注：无政府基金预算财政拨款预算，空表列示。</w:t>
      </w: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426003昌黎县应急管理局（事业）</w:t>
            </w:r>
          </w:p>
        </w:tc>
        <w:tc>
          <w:tcPr>
            <w:tcW w:w="833"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666" w:type="pct"/>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1666" w:type="pct"/>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功能分类科目</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基本支出</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科目编码</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jc w:val="center"/>
              <w:rPr>
                <w:rFonts w:ascii="方正书宋_GBK" w:hAnsi="方正书宋_GBK" w:eastAsia="方正书宋_GBK" w:cs="方正书宋_GBK"/>
                <w:lang w:eastAsia="uk-UA"/>
              </w:rPr>
            </w:pPr>
          </w:p>
        </w:tc>
        <w:tc>
          <w:tcPr>
            <w:tcW w:w="833" w:type="pct"/>
            <w:vAlign w:val="center"/>
          </w:tcPr>
          <w:p>
            <w:pPr>
              <w:jc w:val="left"/>
              <w:rPr>
                <w:rFonts w:ascii="方正书宋_GBK" w:hAnsi="方正书宋_GBK" w:eastAsia="方正书宋_GBK" w:cs="方正书宋_GBK"/>
                <w:lang w:eastAsia="uk-UA"/>
              </w:rPr>
            </w:pPr>
          </w:p>
        </w:tc>
        <w:tc>
          <w:tcPr>
            <w:tcW w:w="833" w:type="pct"/>
            <w:vAlign w:val="center"/>
          </w:tcPr>
          <w:p>
            <w:pPr>
              <w:jc w:val="lef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lang w:eastAsia="uk-UA"/>
        </w:rPr>
        <w:t>注：无国有资本经营预算财政拨款预算，空表列示。</w:t>
      </w: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单位预算财政拨款“三公”经费支出表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426003昌黎县应急管理局（事业）</w:t>
            </w:r>
          </w:p>
        </w:tc>
        <w:tc>
          <w:tcPr>
            <w:tcW w:w="833" w:type="pct"/>
            <w:tcBorders>
              <w:top w:val="single" w:color="FFFFFF" w:sz="6" w:space="0"/>
              <w:left w:val="single" w:color="FFFFFF" w:sz="6" w:space="0"/>
              <w:right w:val="single" w:color="FFFFFF" w:sz="6" w:space="0"/>
            </w:tcBorders>
            <w:vAlign w:val="center"/>
          </w:tcPr>
          <w:p>
            <w:pPr>
              <w:jc w:val="center"/>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预算年度：2023</w:t>
            </w:r>
          </w:p>
        </w:tc>
        <w:tc>
          <w:tcPr>
            <w:tcW w:w="1666" w:type="pct"/>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序号</w:t>
            </w:r>
          </w:p>
        </w:tc>
        <w:tc>
          <w:tcPr>
            <w:tcW w:w="833" w:type="pct"/>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3333" w:type="pct"/>
            <w:gridSpan w:val="4"/>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一般公共预算              财政拨款</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政府性基金                  预算拨款</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栏次</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3</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4</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1</w:t>
            </w:r>
          </w:p>
        </w:tc>
        <w:tc>
          <w:tcPr>
            <w:tcW w:w="833"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p>
            <w:pPr>
              <w:jc w:val="center"/>
              <w:rPr>
                <w:rFonts w:ascii="方正书宋_GBK" w:hAnsi="方正书宋_GBK" w:eastAsia="方正书宋_GBK" w:cs="方正书宋_GBK"/>
                <w:b/>
                <w:lang w:eastAsia="uk-UA"/>
              </w:rPr>
            </w:pP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2.00</w:t>
            </w:r>
          </w:p>
        </w:tc>
        <w:tc>
          <w:tcPr>
            <w:tcW w:w="833" w:type="pct"/>
            <w:vAlign w:val="center"/>
          </w:tcPr>
          <w:p>
            <w:pPr>
              <w:jc w:val="right"/>
              <w:rPr>
                <w:rFonts w:ascii="方正书宋_GBK" w:hAnsi="方正书宋_GBK" w:eastAsia="方正书宋_GBK" w:cs="方正书宋_GBK"/>
                <w:b/>
                <w:lang w:eastAsia="uk-UA"/>
              </w:rPr>
            </w:pPr>
            <w:r>
              <w:rPr>
                <w:rFonts w:ascii="方正书宋_GBK" w:hAnsi="方正书宋_GBK" w:eastAsia="方正书宋_GBK" w:cs="方正书宋_GBK"/>
                <w:b/>
                <w:lang w:eastAsia="uk-UA"/>
              </w:rPr>
              <w:t>2.00</w:t>
            </w:r>
          </w:p>
        </w:tc>
        <w:tc>
          <w:tcPr>
            <w:tcW w:w="833" w:type="pct"/>
            <w:vAlign w:val="center"/>
          </w:tcPr>
          <w:p>
            <w:pPr>
              <w:jc w:val="right"/>
              <w:rPr>
                <w:rFonts w:ascii="方正书宋_GBK" w:hAnsi="方正书宋_GBK" w:eastAsia="方正书宋_GBK" w:cs="方正书宋_GBK"/>
                <w:b/>
                <w:lang w:eastAsia="uk-UA"/>
              </w:rPr>
            </w:pPr>
          </w:p>
        </w:tc>
        <w:tc>
          <w:tcPr>
            <w:tcW w:w="833" w:type="pct"/>
            <w:vAlign w:val="center"/>
          </w:tcPr>
          <w:p>
            <w:pPr>
              <w:jc w:val="right"/>
              <w:rPr>
                <w:rFonts w:ascii="方正书宋_GBK" w:hAnsi="方正书宋_GBK" w:eastAsia="方正书宋_GBK" w:cs="方正书宋_GBK"/>
                <w:b/>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2</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“三公”经费小计</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2.00</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3</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一、因公出国（境）费</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4</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 xml:space="preserve">    其中：教学科研人员因公出国（境）</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5</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 xml:space="preserve">                 其他因公出国（境）费   </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6</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二、公务用车购置及运维费</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7</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 xml:space="preserve">    其中：公务用车购置费</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8</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 xml:space="preserve">                公务用车运行维护费</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9</w:t>
            </w:r>
          </w:p>
        </w:tc>
        <w:tc>
          <w:tcPr>
            <w:tcW w:w="833"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三、公务接待费</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2.00</w:t>
            </w:r>
          </w:p>
        </w:tc>
        <w:tc>
          <w:tcPr>
            <w:tcW w:w="833" w:type="pct"/>
            <w:vAlign w:val="center"/>
          </w:tcPr>
          <w:p>
            <w:pPr>
              <w:jc w:val="right"/>
              <w:rPr>
                <w:rFonts w:ascii="方正书宋_GBK" w:hAnsi="方正书宋_GBK" w:eastAsia="方正书宋_GBK" w:cs="方正书宋_GBK"/>
                <w:lang w:eastAsia="uk-UA"/>
              </w:rPr>
            </w:pPr>
            <w:r>
              <w:rPr>
                <w:rFonts w:ascii="方正书宋_GBK" w:hAnsi="方正书宋_GBK" w:eastAsia="方正书宋_GBK" w:cs="方正书宋_GBK"/>
                <w:lang w:eastAsia="uk-UA"/>
              </w:rPr>
              <w:t>2.00</w:t>
            </w:r>
          </w:p>
        </w:tc>
        <w:tc>
          <w:tcPr>
            <w:tcW w:w="833" w:type="pct"/>
            <w:vAlign w:val="center"/>
          </w:tcPr>
          <w:p>
            <w:pPr>
              <w:jc w:val="right"/>
              <w:rPr>
                <w:rFonts w:ascii="方正书宋_GBK" w:hAnsi="方正书宋_GBK" w:eastAsia="方正书宋_GBK" w:cs="方正书宋_GBK"/>
                <w:lang w:eastAsia="uk-UA"/>
              </w:rPr>
            </w:pPr>
          </w:p>
        </w:tc>
        <w:tc>
          <w:tcPr>
            <w:tcW w:w="833" w:type="pct"/>
            <w:vAlign w:val="center"/>
          </w:tcPr>
          <w:p>
            <w:pPr>
              <w:jc w:val="right"/>
              <w:rPr>
                <w:rFonts w:ascii="方正书宋_GBK" w:hAnsi="方正书宋_GBK" w:eastAsia="方正书宋_GBK" w:cs="方正书宋_GBK"/>
                <w:lang w:eastAsia="uk-UA"/>
              </w:rPr>
            </w:pPr>
          </w:p>
        </w:tc>
      </w:tr>
    </w:tbl>
    <w:p>
      <w:pPr>
        <w:sectPr>
          <w:pgSz w:w="16840" w:h="11900" w:orient="landscape"/>
          <w:pgMar w:top="1361" w:right="1020" w:bottom="1361" w:left="1020" w:header="720" w:footer="720" w:gutter="0"/>
          <w:cols w:space="720" w:num="1"/>
        </w:sectPr>
      </w:pPr>
    </w:p>
    <w:p>
      <w:pPr>
        <w:widowControl/>
        <w:jc w:val="center"/>
        <w:outlineLvl w:val="4"/>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44"/>
          <w:lang w:eastAsia="uk-UA"/>
        </w:rPr>
        <w:t>昌黎县应急管理局（事业）2023年单位预算信息公开情况说明</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按照《预算法》、《地方预决算公开操作规程》和《关于进一步推进预算公开工作的实施意见》规定，现将昌黎县应急管理局（事业）2023年单位预算公开如下：</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一、单位职责及机构设置情况</w:t>
      </w:r>
    </w:p>
    <w:p>
      <w:pPr>
        <w:widowControl/>
        <w:ind w:firstLine="640"/>
        <w:jc w:val="left"/>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32"/>
          <w:lang w:eastAsia="uk-UA"/>
        </w:rPr>
        <w:t>单位职责：</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1、负责应急管理工作，指导各级各部门应对安全生产类、自然灾害类等突发事件和综合防灾减灾救灾工作。负责安全生产综合监督管理和工矿商贸行业安全生产监督管理工作。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2、落实应急管理、安全生产等政策规定，组织编制县应急体系建设、安全生产和综合防灾减灾规划，起草政府规章草案。</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3、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4、牵头建立统一的全县应急管理信息系统，负责信息传输渠道的规划和布局，建立监测预警和灾情报告制度，健全自然灾害信息资源获取和共享机制，依法统一发布灾情。</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5、组织指导协调安全生产类、自然灾害类等突发事件应急救援，承担县应对重大灾害指挥部工作，综合研判突发事件发展态势并提出应对建议，协助县委、县政府指定的负责同志组织灾害应急处置工作。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6、统一协调指挥各类应急专业队伍，建立应急协调联动机制，推进指挥平台对接。衔接解放军和武警部队参与应急救援工作。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7、统筹应急救援力量建设，负责消防、抗洪抢险、地震和地质灾害救援、生产安全事故救援等专业应急</w:t>
      </w:r>
      <w:r>
        <w:rPr>
          <w:rFonts w:hint="eastAsia" w:ascii="Times New Roman" w:hAnsi="Times New Roman" w:eastAsia="方正仿宋_GBK" w:cs="Times New Roman"/>
          <w:sz w:val="28"/>
          <w:lang w:eastAsia="zh-CN"/>
        </w:rPr>
        <w:t>救援</w:t>
      </w:r>
      <w:bookmarkStart w:id="2" w:name="_GoBack"/>
      <w:bookmarkEnd w:id="2"/>
      <w:r>
        <w:rPr>
          <w:rFonts w:ascii="Times New Roman" w:hAnsi="Times New Roman" w:eastAsia="方正仿宋_GBK" w:cs="Times New Roman"/>
          <w:sz w:val="28"/>
          <w:lang w:eastAsia="uk-UA"/>
        </w:rPr>
        <w:t>力量建设。管理县综合性应急救援队伍，指导各级及社会应急救援力量建设。</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8、组织协调消防工作。指导各级消防监督、火灾预防、火灾扑救等工作。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9、指导协调森林火灾、水旱灾害、地震和地质灾害等防治工作，负责自然灾害综合监测预警工作，指导开展自然灾害综合风险评估工作。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10、组织协调灾害救助工作。组织指导灾情核查、损失评估、救灾捐赠工作，管理、分配县救灾款物并监督使用。</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11、依法行使县安委会监督管理职权，指导协调、监督检查县有关部门和各乡镇政府的安全生产工作。组织开展安全生产巡查、考核工作。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12、按照分级、属地原则，依法监督检查工矿商贸生产经营单位贯彻执行安全生产法律法规情况，及其安全生产条件和有关设备(特种设备除外)、材料、劳动防护用品的安全生产管理工作。负责监督管理工矿商贸行业县属企业和中央、省、市驻昌企业的安全生产工作。负责危险化学品安全监督管理综合工作和烟花爆竹安全生产监督管理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13、依法组织指导生产安全事故调查处理，监督事故查处和责任追究落实情况。组织开展自然灾害类突发事件的调查评估工作。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14、制定应急物资储备和应急救援装备规划并组织实施，会同县发改局（县粮食和物资储备局）等部门建立健全应急物资信息平台和调拨制度，在救灾时统一调度。</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15、负责应急管理、安全生产宣传教育和培训工作，组织指导应急管理、安全生产的科学技术研究、推广应用和信息化建设工作。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16、负责组织指导协调和监督全县安全生产行政执法工作，组织开展对县属企业及驻昌中央、省、市企业的执法检查，组织开展对安全生产重点企业的执法检查。</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17、组织开展应急管理方面的对外交流与合作。</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18、 负责贯彻落实国家、省、市防震减灾工作方针政策、法律法规和行业标准，贯彻执行国家、省、市地震监测预报制度；负责地震监测和震情信息发布工作；负责会同有关部门拟订全县防震减灾规划，参与制定地震灾区重建规划。</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19、完成县委、县政府交办的其他任务。</w:t>
      </w:r>
    </w:p>
    <w:p>
      <w:pPr>
        <w:widowControl/>
        <w:ind w:firstLine="640"/>
        <w:jc w:val="left"/>
        <w:rPr>
          <w:rFonts w:ascii="Times New Roman" w:hAnsi="Times New Roman" w:eastAsia="Times New Roman"/>
          <w:kern w:val="0"/>
          <w:sz w:val="24"/>
          <w:lang w:eastAsia="uk-UA"/>
        </w:rPr>
      </w:pPr>
      <w:r>
        <w:rPr>
          <w:rFonts w:ascii="方正楷体_GBK" w:hAnsi="方正楷体_GBK" w:eastAsia="方正楷体_GBK" w:cs="方正楷体_GBK"/>
          <w:b/>
          <w:color w:val="000000"/>
          <w:kern w:val="0"/>
          <w:sz w:val="32"/>
          <w:lang w:eastAsia="uk-UA"/>
        </w:rPr>
        <w:t>机构设置：</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2"/>
          <w:lang w:eastAsia="uk-UA"/>
        </w:rPr>
        <w:t>单位机构设置情况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单位名称</w:t>
            </w:r>
          </w:p>
        </w:tc>
        <w:tc>
          <w:tcPr>
            <w:tcW w:w="1250"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单位性质</w:t>
            </w:r>
          </w:p>
        </w:tc>
        <w:tc>
          <w:tcPr>
            <w:tcW w:w="1250"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单位规格</w:t>
            </w:r>
          </w:p>
        </w:tc>
        <w:tc>
          <w:tcPr>
            <w:tcW w:w="1250" w:type="pc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昌黎县应急管理局（事业）</w:t>
            </w:r>
          </w:p>
        </w:tc>
        <w:tc>
          <w:tcPr>
            <w:tcW w:w="1250"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事业</w:t>
            </w:r>
          </w:p>
        </w:tc>
        <w:tc>
          <w:tcPr>
            <w:tcW w:w="1250"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正科级</w:t>
            </w:r>
          </w:p>
        </w:tc>
        <w:tc>
          <w:tcPr>
            <w:tcW w:w="1250" w:type="pc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财政性资金基本保证</w:t>
            </w:r>
          </w:p>
        </w:tc>
      </w:tr>
    </w:tbl>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二、单位预算安排的总体情况</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按照预算管理有关规定，目前我</w:t>
      </w:r>
      <w:r>
        <w:rPr>
          <w:rFonts w:hint="eastAsia" w:cs="Times New Roman" w:asciiTheme="minorEastAsia" w:hAnsiTheme="minorEastAsia"/>
          <w:sz w:val="28"/>
        </w:rPr>
        <w:t>县</w:t>
      </w:r>
      <w:r>
        <w:rPr>
          <w:rFonts w:ascii="Times New Roman" w:hAnsi="Times New Roman" w:eastAsia="方正仿宋_GBK" w:cs="Times New Roman"/>
          <w:sz w:val="28"/>
          <w:lang w:eastAsia="uk-UA"/>
        </w:rPr>
        <w:t>单位预算的编制实行综合预算制度，即全部收入和支出都反映在预算中。</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 xml:space="preserve">2023年单位预算安排1549.16万元（其中：一般公共预算拨款1253.39万元，政府性基金预算拨款0万元），上年结转295.77万元。 </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1、收入说明</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反映本单位当年全部收入。2023年预算收入1549.16万元，一般公共预算拨款1253.39万元,上年结转295.77万元。</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2、支出说明</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收支预算总表支出栏、基本支出表、项目支出表按经济分类和支出功能分类科目编制，反映</w:t>
      </w:r>
      <w:r>
        <w:rPr>
          <w:rFonts w:hint="eastAsia" w:ascii="Times New Roman" w:hAnsi="Times New Roman" w:eastAsia="方正仿宋_GBK" w:cs="Times New Roman"/>
          <w:sz w:val="28"/>
        </w:rPr>
        <w:t>昌黎县应急管理局</w:t>
      </w:r>
      <w:r>
        <w:rPr>
          <w:rFonts w:ascii="Times New Roman" w:hAnsi="Times New Roman" w:eastAsia="方正仿宋_GBK" w:cs="Times New Roman"/>
          <w:sz w:val="28"/>
          <w:lang w:eastAsia="uk-UA"/>
        </w:rPr>
        <w:t>年度单位预算中支出预算的总体情况。2023年我单位预算总支出为1549.16万元，其中：基本支出为1078.63万元（包括人员经费895.04万元，公用经费183.59万元），项目支出470.53万元。</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3、比上年增减情况</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反映单位与上年比较的增减变化情况。2023年预算收支安排1549.16万元，较2022年预算增加366.82万元，其中：基本支出增加365.52万元，主要原因为在职人员变动及人员工资增加；项目支出增加1.3万元，基本与上年持平。</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三、机关运行经费安排情况</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2023年我单位日常公用经费支出预算183.59万元。其中：办公费177.90万元、公务接待费2万元、工会经费3.69万元。</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四、财政拨款“三公”经费预算情况及增减变化原因</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2023年单位预算三公经费预算安排2万元，具体如下：</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因公出国（境）费用预算安排0万元;</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 xml:space="preserve">公务用车购置及运行维护费预算安排合计0万元（其中：公务用车购置安排0万元，公务用车运行维护费安排0万元）; </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公务接待费预算安排2万元。</w:t>
      </w:r>
    </w:p>
    <w:p>
      <w:pPr>
        <w:spacing w:line="500" w:lineRule="exact"/>
        <w:ind w:firstLine="560"/>
        <w:jc w:val="left"/>
        <w:rPr>
          <w:rFonts w:ascii="Times New Roman" w:hAnsi="Times New Roman" w:eastAsia="方正仿宋_GBK" w:cs="Times New Roman"/>
          <w:sz w:val="28"/>
          <w:lang w:eastAsia="uk-UA"/>
        </w:rPr>
      </w:pPr>
      <w:r>
        <w:rPr>
          <w:rFonts w:ascii="Times New Roman" w:hAnsi="Times New Roman" w:eastAsia="方正仿宋_GBK" w:cs="Times New Roman"/>
          <w:sz w:val="28"/>
          <w:lang w:eastAsia="uk-UA"/>
        </w:rPr>
        <w:t>与2022年预算安排相比持平，依据2022年我单位公务用车保有数持平、业务量和省市督导检查业务接待量及接待标准无太大变化，所以有所减少。根据单位安全生产执法监督任务和公务接待有关规定业务量和省市督导检查业务接待量及接待标准减少，严控接待你标准，不做超标准接待。其中：因公出国（境）费用0万元，与上年持平；公务用车购置及运行维护费用0万元，根据我单位公务用车定编保有量严格执行预算定额标准，严格控制公车使用、严禁公车私用、私车供养等情况，所以比上年持平；公务接待费2万元， 依据2022年我单位业务量和省市督导检查业务接待量及接待标准减少,严控接待标准，不做超标准接待，所以对比上年持平。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kern w:val="0"/>
          <w:sz w:val="32"/>
          <w:lang w:eastAsia="uk-UA"/>
        </w:rPr>
        <w:t>五、预算绩效信息</w:t>
      </w: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1、2022年自然灾害救灾资金绩效目标表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绩效目标</w:t>
            </w:r>
          </w:p>
        </w:tc>
        <w:tc>
          <w:tcPr>
            <w:tcW w:w="12756" w:type="dxa"/>
            <w:tcBorders>
              <w:bottom w:val="single" w:color="FFFFFF" w:sz="6" w:space="0"/>
            </w:tcBorders>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根据冀财建[2022]270号文件印发的河北省财政厅《关于下达2022年自然灾害救灾资金（冬春历史生活困难救助资金）》的通知，此项资金主要用于2022-2023年冬春临时生活困难救助资金，受灾群众口粮、伤病和因灾损毁房屋恢复重建、紧急转移人员安置等基本生活救助、保障受灾群众安全温暖过冬。</w:t>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p>
          <w:p>
            <w:pPr>
              <w:jc w:val="left"/>
              <w:rPr>
                <w:rFonts w:ascii="方正书宋_GBK" w:hAnsi="方正书宋_GBK" w:eastAsia="方正书宋_GBK" w:cs="方正书宋_GBK"/>
                <w:lang w:eastAsia="uk-UA"/>
              </w:rPr>
            </w:pPr>
          </w:p>
        </w:tc>
      </w:tr>
    </w:tbl>
    <w:p>
      <w:pPr>
        <w:widowControl/>
        <w:spacing w:line="2" w:lineRule="exact"/>
        <w:jc w:val="center"/>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一级指标</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二级指标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三级指标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绩效指标描述</w:t>
            </w:r>
          </w:p>
        </w:tc>
        <w:tc>
          <w:tcPr>
            <w:tcW w:w="2551"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产出指标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数量指标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普查对象清查覆盖率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普查对象清查覆盖率</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≥19个</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质量指标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自然灾害救助专项资金到位率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自然灾害救助专项资金及时到位情况</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时效指标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进度偏差率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进度偏差率</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≤1偏差1个月以内</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成本指标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成本控制有效率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成本控制有效率</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150万元</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效益指标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经济效益指标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减少灾害损失</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为自然灾害防治、应急管理等工作提供科学依据，减轻灾害损失</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效果显著</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数据共享涉及部门数量</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数据共享涉及部门数量</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≥19个</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可持续影响指标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保障受灾群众生活</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保障受灾群众生活</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长期</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生态效益指标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绿色办公</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减少纸张、水、电浪费</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满意度指标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服务对象满意度指标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被援助人员满意度</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被援助人员满意度</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历史经验</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2、采购应急通信系统（装备）项目</w:t>
      </w:r>
      <w:r>
        <w:rPr>
          <w:rFonts w:ascii="方正仿宋_GBK" w:hAnsi="方正仿宋_GBK" w:eastAsia="方正仿宋_GBK" w:cs="方正仿宋_GBK"/>
          <w:b/>
          <w:color w:val="000000"/>
          <w:kern w:val="0"/>
          <w:sz w:val="28"/>
          <w:lang w:eastAsia="uk-UA"/>
        </w:rPr>
        <w:tab/>
      </w:r>
      <w:r>
        <w:rPr>
          <w:rFonts w:ascii="方正仿宋_GBK" w:hAnsi="方正仿宋_GBK" w:eastAsia="方正仿宋_GBK" w:cs="方正仿宋_GBK"/>
          <w:b/>
          <w:color w:val="000000"/>
          <w:kern w:val="0"/>
          <w:sz w:val="28"/>
          <w:lang w:eastAsia="uk-UA"/>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绩效目标</w:t>
            </w:r>
          </w:p>
        </w:tc>
        <w:tc>
          <w:tcPr>
            <w:tcW w:w="12756" w:type="dxa"/>
            <w:tcBorders>
              <w:bottom w:val="single" w:color="FFFFFF" w:sz="6" w:space="0"/>
            </w:tcBorders>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6.根据国家、省发改委有关文件精神，由省应急管理厅牵头组织河北省应急通信保障能力提升工程项目实施，河北省应急通信保障能力提升工程“应急通信系统(装备）"采购工作，保障通信装备标准一致、应急指挥体系上下贯通，提高采购规、模效益，决定采取”省级统一采购，分级签订合同，分别支付货款的方式，为省、市县（市、区）采购应急通信系统(装备）。</w:t>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p>
        </w:tc>
      </w:tr>
    </w:tbl>
    <w:p>
      <w:pPr>
        <w:widowControl/>
        <w:spacing w:line="2" w:lineRule="exact"/>
        <w:jc w:val="center"/>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一级指标</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二级指标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三级指标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绩效指标描述</w:t>
            </w:r>
          </w:p>
        </w:tc>
        <w:tc>
          <w:tcPr>
            <w:tcW w:w="2551"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产出指标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数量指标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购置数量</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通信系统购置数量</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1套</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质量指标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购置质量合格率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购置质量合格的数量占购置总数量的比率</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100%</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时效指标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完成及时</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6月30日前完成购置</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≤6月</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成本指标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年初预算指标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年初预算指标</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5.13万元</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效益指标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经济效益指标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保障应急通信</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增强应急水平，减少灾害发生所带来的经济损失</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应急业务保障</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提高我县的应急工作顺利开展保障能力</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提高</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可持续影响指标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为社会稳定提供安全保障</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为国民经济持续健康发展和社会稳定提供安全保障</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长期</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生态效益指标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绿色办公</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减少纸张、水费及电费浪费</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满意度指标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服务对象满意度指标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群众满意度指标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通过问卷调查，满意和较满意的受益对象占全部调研对象的比例</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≥90%</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历史经验</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3、昌黎县成品油市场专项整治项目绩效目标表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绩效目标</w:t>
            </w:r>
          </w:p>
        </w:tc>
        <w:tc>
          <w:tcPr>
            <w:tcW w:w="12756" w:type="dxa"/>
            <w:tcBorders>
              <w:bottom w:val="single" w:color="FFFFFF" w:sz="6" w:space="0"/>
            </w:tcBorders>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6."按照职责分工对依法收缴油品以及用于非法储存、经营油品的工具和设备进行扣押储存。"</w:t>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p>
          <w:p>
            <w:pPr>
              <w:jc w:val="left"/>
              <w:rPr>
                <w:rFonts w:ascii="方正书宋_GBK" w:hAnsi="方正书宋_GBK" w:eastAsia="方正书宋_GBK" w:cs="方正书宋_GBK"/>
                <w:lang w:eastAsia="uk-UA"/>
              </w:rPr>
            </w:pPr>
          </w:p>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7."确保成品油市场专项清理整治工作有序开展"</w:t>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p>
        </w:tc>
      </w:tr>
    </w:tbl>
    <w:p>
      <w:pPr>
        <w:widowControl/>
        <w:spacing w:line="2" w:lineRule="exact"/>
        <w:jc w:val="center"/>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一级指标</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二级指标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三级指标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绩效指标描述</w:t>
            </w:r>
          </w:p>
        </w:tc>
        <w:tc>
          <w:tcPr>
            <w:tcW w:w="2551"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产出指标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成本指标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生产经营单位执法检查率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本年实际执法检查的生产经营单位数占应检查单位总数的比率</w:t>
            </w:r>
          </w:p>
          <w:p>
            <w:pPr>
              <w:jc w:val="left"/>
              <w:rPr>
                <w:rFonts w:ascii="方正书宋_GBK" w:hAnsi="方正书宋_GBK" w:eastAsia="方正书宋_GBK" w:cs="方正书宋_GBK"/>
                <w:lang w:eastAsia="uk-UA"/>
              </w:rPr>
            </w:pPr>
          </w:p>
          <w:p>
            <w:pPr>
              <w:jc w:val="left"/>
              <w:rPr>
                <w:rFonts w:ascii="方正书宋_GBK" w:hAnsi="方正书宋_GBK" w:eastAsia="方正书宋_GBK" w:cs="方正书宋_GBK"/>
                <w:lang w:eastAsia="uk-UA"/>
              </w:rPr>
            </w:pPr>
          </w:p>
          <w:p>
            <w:pPr>
              <w:jc w:val="left"/>
              <w:rPr>
                <w:rFonts w:ascii="方正书宋_GBK" w:hAnsi="方正书宋_GBK" w:eastAsia="方正书宋_GBK" w:cs="方正书宋_GBK"/>
                <w:lang w:eastAsia="uk-UA"/>
              </w:rPr>
            </w:pP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≥90%</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数量指标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隐患排查率</w:t>
            </w:r>
          </w:p>
          <w:p>
            <w:pPr>
              <w:jc w:val="left"/>
              <w:rPr>
                <w:rFonts w:ascii="方正书宋_GBK" w:hAnsi="方正书宋_GBK" w:eastAsia="方正书宋_GBK" w:cs="方正书宋_GBK"/>
                <w:lang w:eastAsia="uk-UA"/>
              </w:rPr>
            </w:pP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实际隐患排查数量占隐患总数的比例</w:t>
            </w:r>
          </w:p>
          <w:p>
            <w:pPr>
              <w:jc w:val="left"/>
              <w:rPr>
                <w:rFonts w:ascii="方正书宋_GBK" w:hAnsi="方正书宋_GBK" w:eastAsia="方正书宋_GBK" w:cs="方正书宋_GBK"/>
                <w:lang w:eastAsia="uk-UA"/>
              </w:rPr>
            </w:pP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≥90%</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质量指标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生产经营单位合法率</w:t>
            </w:r>
          </w:p>
          <w:p>
            <w:pPr>
              <w:jc w:val="left"/>
              <w:rPr>
                <w:rFonts w:ascii="方正书宋_GBK" w:hAnsi="方正书宋_GBK" w:eastAsia="方正书宋_GBK" w:cs="方正书宋_GBK"/>
                <w:lang w:eastAsia="uk-UA"/>
              </w:rPr>
            </w:pP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不存在违法行为的生产经营单位总数占本年实际执法检查生产经营单位总数的比率</w:t>
            </w:r>
          </w:p>
          <w:p>
            <w:pPr>
              <w:jc w:val="left"/>
              <w:rPr>
                <w:rFonts w:ascii="方正书宋_GBK" w:hAnsi="方正书宋_GBK" w:eastAsia="方正书宋_GBK" w:cs="方正书宋_GBK"/>
                <w:lang w:eastAsia="uk-UA"/>
              </w:rPr>
            </w:pPr>
          </w:p>
          <w:p>
            <w:pPr>
              <w:jc w:val="left"/>
              <w:rPr>
                <w:rFonts w:ascii="方正书宋_GBK" w:hAnsi="方正书宋_GBK" w:eastAsia="方正书宋_GBK" w:cs="方正书宋_GBK"/>
                <w:lang w:eastAsia="uk-UA"/>
              </w:rPr>
            </w:pP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≥90%</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时效指标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完成率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项目按照时间节点完成情况</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90%</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效益指标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生态效益指标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节约成本</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节约水、电等资源，降低能耗，实现绿色办公</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降低</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可持续影响指标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为社会稳定提供安全保障</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为国民经济持续健康发展和社会稳定提供安全保障</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显著</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经济效益指标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按照预算指标完成</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通过科学编制预算，严格遵守各项规章制度，提高财政资金的使用效率，做到节俭高效。</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提高</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社会影响力</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对我县成品油市场发展具有积极促进作用</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长期</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满意度指标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服务对象满意度指标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群众满意度指标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通过问卷调查，满意和较满意的受益对象占全部调研对象的比例</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历史经验</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4、农房保险县级配套项目绩效目标表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绩效目标</w:t>
            </w:r>
          </w:p>
        </w:tc>
        <w:tc>
          <w:tcPr>
            <w:tcW w:w="12756" w:type="dxa"/>
            <w:tcBorders>
              <w:bottom w:val="single" w:color="FFFFFF" w:sz="6" w:space="0"/>
            </w:tcBorders>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6."增强农村群众抵御灾害风险能力，完善救灾保障机制，构建新型农村自然灾害救助"推进以农房保险为主要险种的救灾保险，提高抗灾水平。</w:t>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p>
        </w:tc>
      </w:tr>
    </w:tbl>
    <w:p>
      <w:pPr>
        <w:widowControl/>
        <w:spacing w:line="2" w:lineRule="exact"/>
        <w:jc w:val="center"/>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一级指标</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二级指标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三级指标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绩效指标描述</w:t>
            </w:r>
          </w:p>
        </w:tc>
        <w:tc>
          <w:tcPr>
            <w:tcW w:w="2551"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产出指标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成本指标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项目预算控制数</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项目预算控制数</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30.64万元</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数量指标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灾害普查乡镇数</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自然灾害普查项目涉及的乡镇数</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19个</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质量指标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项目资金到位支付数占预算资金的比例</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项目资金到位支付数占预算资金的比例</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100%</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时效指标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及时购买保险农房数占计划购买农房总数的比例</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及时购买保险农房数占计划购买农房总数的比例</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100%</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效益指标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可持续影响指标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对完善救灾保障机制带来的持续性影响</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为国民经济持续健康发展和社会稳定提供安全保障</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可持续</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经济效益指标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提高抗灾水平</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减少灾害带来经济损失</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社会影响</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农村住房保险赔付比例</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生态效益指标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绿色办公</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减少纸张、水费及电费的浪费</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满意度指标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服务对象满意度指标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群众满意度指标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通过问卷调查，满意和较满意的受益对象占全部调研对象的比例</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≥90%</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历史经验</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5、森林防火经费绩效目标表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绩效目标</w:t>
            </w:r>
          </w:p>
        </w:tc>
        <w:tc>
          <w:tcPr>
            <w:tcW w:w="12756" w:type="dxa"/>
            <w:tcBorders>
              <w:bottom w:val="single" w:color="FFFFFF" w:sz="6" w:space="0"/>
            </w:tcBorders>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6.落实全县综合防灾减灾规划相关要求，组织编制全县森林活在防治规划并监督实施，承担指导开展防火寻呼、火源管理、防火设施建设等工作；负责森林火情监测预警；负责发布森林火险、火灾信息；负责森林火灾扑救和森林活在扑救队伍建设。</w:t>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p>
          <w:p>
            <w:pPr>
              <w:jc w:val="left"/>
              <w:rPr>
                <w:rFonts w:ascii="方正书宋_GBK" w:hAnsi="方正书宋_GBK" w:eastAsia="方正书宋_GBK" w:cs="方正书宋_GBK"/>
                <w:lang w:eastAsia="uk-UA"/>
              </w:rPr>
            </w:pPr>
          </w:p>
        </w:tc>
      </w:tr>
    </w:tbl>
    <w:p>
      <w:pPr>
        <w:widowControl/>
        <w:spacing w:line="2" w:lineRule="exact"/>
        <w:jc w:val="center"/>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一级指标</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二级指标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三级指标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绩效指标描述</w:t>
            </w:r>
          </w:p>
        </w:tc>
        <w:tc>
          <w:tcPr>
            <w:tcW w:w="2551"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产出指标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成本指标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项目预算控制数</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项目预算控制数</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30万元</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数量指标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扑火队人数</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扑火队人数</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70人</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质量指标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扑救人员出勤率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扑救人员出勤率=出勤人数/实有人数</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时效指标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火灾扑救及时性</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出现火情，扑救响应时间</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≤1.3小时</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效益指标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生态效益指标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有利于当地生态环境的改善</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有利于当地生态环境的改善</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改善</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经济效益指标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提高防灾水平</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减少火灾的发生，减少国民经济损失</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社会影响</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为国民经济持续健康发展和社会稳定提供安全保障</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提高</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可持续影响指标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维护社会稳定</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维护社会稳定</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长期</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满意度指标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服务对象满意度指标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群众满意度指标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通过问卷调查，满意和较满意的受益对象占全部调研对象的比例</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≥90%</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历史经验</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6、提前下达2023年自然灾害救助专项资金绩效目标表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绩效目标</w:t>
            </w:r>
          </w:p>
        </w:tc>
        <w:tc>
          <w:tcPr>
            <w:tcW w:w="12756" w:type="dxa"/>
            <w:tcBorders>
              <w:bottom w:val="single" w:color="FFFFFF" w:sz="6" w:space="0"/>
            </w:tcBorders>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1.目标内容1：开展防灾减灾救灾只是选喜欢教育，提升人民群众防灾减灾一是和自救互救技能。</w:t>
            </w:r>
          </w:p>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2.目标内容2：通过引导社会力量资金参与救灾工作，充分发挥财政资金的放大作用，夹带队受灾群众的救助水平，提升守在农户抵御自然灾害和突发事故能力，提高农村居民住房灾后重建保障能力。</w:t>
            </w:r>
          </w:p>
        </w:tc>
      </w:tr>
    </w:tbl>
    <w:p>
      <w:pPr>
        <w:widowControl/>
        <w:spacing w:line="2" w:lineRule="exact"/>
        <w:jc w:val="center"/>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一级指标</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二级指标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三级指标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绩效指标描述</w:t>
            </w:r>
          </w:p>
        </w:tc>
        <w:tc>
          <w:tcPr>
            <w:tcW w:w="2551"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产出指标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成本指标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项目预算控制数</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项目预算控制数</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95.61万元</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数量指标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灾害普查乡镇数</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自然灾害普查项目涉及的乡镇数</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≥17个</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质量指标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项目资金支付率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项目按时到位支付资金数占预算资金的比例</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时效指标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购买农房及时率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及时购买保险农房数占计划购买农房总数的比例</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效益指标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可持续影响指标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对完善救灾保障机制带来的持续性影响</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为国民经济持续健康发展和社会稳定提供安全保障</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≥1年</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经济效益指标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减少灾害损失</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减少灾害带来经济损失</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进一步减少</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农村住房保险赔付比例</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农村住房保险赔付户数占缴纳保险户数的比例</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生态效益指标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减少办公资源消耗</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减少纸张、水、电浪费</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进一步减少</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满意度指标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服务对象满意度指标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群众满意度</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通过问卷调查，满意和较满意的受益对象占全部调研对象的比例</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≥90%</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历史经验</w:t>
            </w:r>
          </w:p>
        </w:tc>
      </w:tr>
    </w:tbl>
    <w:p>
      <w:pPr>
        <w:sectPr>
          <w:pgSz w:w="16840" w:h="11900" w:orient="landscape"/>
          <w:pgMar w:top="1361" w:right="1020" w:bottom="1134" w:left="1020" w:header="720" w:footer="720" w:gutter="0"/>
          <w:cols w:space="720" w:num="1"/>
        </w:sectPr>
      </w:pPr>
    </w:p>
    <w:p>
      <w:pPr>
        <w:widowControl/>
        <w:ind w:firstLine="560"/>
        <w:jc w:val="left"/>
        <w:rPr>
          <w:rFonts w:ascii="Times New Roman" w:hAnsi="Times New Roman" w:eastAsia="Times New Roman"/>
          <w:kern w:val="0"/>
          <w:sz w:val="24"/>
          <w:lang w:eastAsia="uk-UA"/>
        </w:rPr>
      </w:pPr>
      <w:r>
        <w:rPr>
          <w:rFonts w:ascii="方正仿宋_GBK" w:hAnsi="方正仿宋_GBK" w:eastAsia="方正仿宋_GBK" w:cs="方正仿宋_GBK"/>
          <w:b/>
          <w:color w:val="000000"/>
          <w:kern w:val="0"/>
          <w:sz w:val="28"/>
          <w:lang w:eastAsia="uk-UA"/>
        </w:rPr>
        <w:t>7、中央2022年自然灾害救灾资金绩效目标表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绩效目标</w:t>
            </w:r>
          </w:p>
        </w:tc>
        <w:tc>
          <w:tcPr>
            <w:tcW w:w="12756" w:type="dxa"/>
            <w:tcBorders>
              <w:bottom w:val="single" w:color="FFFFFF" w:sz="6" w:space="0"/>
            </w:tcBorders>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根据冀财建[2022]270号文件印发的河北省财政厅《关于下达2022年自然灾害救灾资金（冬春历史生活困难救助资金）》的通知，此项资金主要用于2022-2023年冬春临时生活困难救助资金，受灾群众口粮、伤病和因灾损毁房屋恢复重建、紧急转移人员安置等基本生活救助、保障受灾群众安全温暖过冬。</w:t>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r>
              <w:rPr>
                <w:rFonts w:ascii="方正书宋_GBK" w:hAnsi="方正书宋_GBK" w:eastAsia="方正书宋_GBK" w:cs="方正书宋_GBK"/>
                <w:lang w:eastAsia="uk-UA"/>
              </w:rPr>
              <w:tab/>
            </w:r>
          </w:p>
          <w:p>
            <w:pPr>
              <w:jc w:val="left"/>
              <w:rPr>
                <w:rFonts w:ascii="方正书宋_GBK" w:hAnsi="方正书宋_GBK" w:eastAsia="方正书宋_GBK" w:cs="方正书宋_GBK"/>
                <w:lang w:eastAsia="uk-UA"/>
              </w:rPr>
            </w:pPr>
          </w:p>
        </w:tc>
      </w:tr>
    </w:tbl>
    <w:p>
      <w:pPr>
        <w:widowControl/>
        <w:spacing w:line="2" w:lineRule="exact"/>
        <w:jc w:val="center"/>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一级指标</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二级指标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三级指标</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绩效指标描述</w:t>
            </w:r>
          </w:p>
        </w:tc>
        <w:tc>
          <w:tcPr>
            <w:tcW w:w="2551"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w:t>
            </w:r>
          </w:p>
        </w:tc>
        <w:tc>
          <w:tcPr>
            <w:tcW w:w="2268"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产出指标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数量指标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普查对象清查覆盖率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普查对象清查覆盖率</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≥19个</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质量指标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自然灾害救助专项资金到位率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自然灾害救助专项资金及时到位情况</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时效指标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进度偏差率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进度偏差率</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≤1偏差1个月以内</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成本指标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成本控制有效率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成本控制有效率</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145.77万元</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效益指标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经济效益指标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减少灾害损失</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为自然灾害防治、应急管理等工作提供科学依据，减轻灾害损失</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效果显著</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社会效益指标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数据共享涉及部门数量</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数据共享涉及部门数量</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≥95个</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乡镇个数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可持续影响指标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保障受灾群众生活</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保障受灾群众生活</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长期</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kern w:val="0"/>
                <w:sz w:val="24"/>
                <w:lang w:eastAsia="uk-UA"/>
              </w:rPr>
            </w:pP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生态效益指标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绿色办公</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减少纸张、水、电浪费</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减少</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jc w:val="center"/>
              <w:rPr>
                <w:rFonts w:ascii="方正书宋_GBK" w:hAnsi="方正书宋_GBK" w:eastAsia="方正书宋_GBK" w:cs="方正书宋_GBK"/>
                <w:lang w:eastAsia="uk-UA"/>
              </w:rPr>
            </w:pPr>
            <w:r>
              <w:rPr>
                <w:rFonts w:ascii="方正书宋_GBK" w:hAnsi="方正书宋_GBK" w:eastAsia="方正书宋_GBK" w:cs="方正书宋_GBK"/>
                <w:lang w:eastAsia="uk-UA"/>
              </w:rPr>
              <w:t>满意度指标</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服务对象满意度指标</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被援助人员满意度</w:t>
            </w:r>
          </w:p>
        </w:tc>
        <w:tc>
          <w:tcPr>
            <w:tcW w:w="2835"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被援助人员满意度</w:t>
            </w:r>
          </w:p>
        </w:tc>
        <w:tc>
          <w:tcPr>
            <w:tcW w:w="2551"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≥95%</w:t>
            </w:r>
          </w:p>
        </w:tc>
        <w:tc>
          <w:tcPr>
            <w:tcW w:w="2268" w:type="dxa"/>
            <w:vAlign w:val="center"/>
          </w:tcPr>
          <w:p>
            <w:pPr>
              <w:jc w:val="left"/>
              <w:rPr>
                <w:rFonts w:ascii="方正书宋_GBK" w:hAnsi="方正书宋_GBK" w:eastAsia="方正书宋_GBK" w:cs="方正书宋_GBK"/>
                <w:lang w:eastAsia="uk-UA"/>
              </w:rPr>
            </w:pPr>
            <w:r>
              <w:rPr>
                <w:rFonts w:ascii="方正书宋_GBK" w:hAnsi="方正书宋_GBK" w:eastAsia="方正书宋_GBK" w:cs="方正书宋_GBK"/>
                <w:lang w:eastAsia="uk-UA"/>
              </w:rPr>
              <w:t>历史经验</w:t>
            </w:r>
          </w:p>
        </w:tc>
      </w:tr>
    </w:tbl>
    <w:p>
      <w:pPr>
        <w:sectPr>
          <w:pgSz w:w="16840" w:h="11900" w:orient="landscape"/>
          <w:pgMar w:top="1361" w:right="1020" w:bottom="1134" w:left="1020" w:header="720" w:footer="720" w:gutter="0"/>
          <w:cols w:space="720" w:num="1"/>
        </w:sectPr>
      </w:pP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六、政府采购预算情况</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2023年，昌黎县应急管理局（事业）安排政府采购预算0.00万元。具体内容见下表。</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426003昌黎县应急管理局（事业）</w:t>
            </w:r>
          </w:p>
        </w:tc>
        <w:tc>
          <w:tcPr>
            <w:tcW w:w="8674" w:type="dxa"/>
            <w:gridSpan w:val="9"/>
            <w:tcBorders>
              <w:top w:val="single" w:color="FFFFFF" w:sz="6" w:space="0"/>
              <w:left w:val="single" w:color="FFFFFF" w:sz="6" w:space="0"/>
              <w:right w:val="single" w:color="FFFFFF" w:sz="6" w:space="0"/>
            </w:tcBorders>
            <w:vAlign w:val="center"/>
          </w:tcPr>
          <w:p>
            <w:pPr>
              <w:jc w:val="right"/>
              <w:rPr>
                <w:rFonts w:ascii="方正书宋_GBK" w:hAnsi="方正书宋_GBK" w:eastAsia="方正书宋_GBK" w:cs="方正书宋_GBK"/>
                <w:sz w:val="24"/>
                <w:lang w:eastAsia="uk-UA"/>
              </w:rPr>
            </w:pPr>
            <w:r>
              <w:rPr>
                <w:rFonts w:ascii="方正书宋_GBK" w:hAnsi="方正书宋_GBK" w:eastAsia="方正书宋_GBK" w:cs="方正书宋_GBK"/>
                <w:sz w:val="24"/>
                <w:lang w:eastAsia="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政府采购项目来源</w:t>
            </w:r>
          </w:p>
        </w:tc>
        <w:tc>
          <w:tcPr>
            <w:tcW w:w="1134"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采购物品名称</w:t>
            </w:r>
          </w:p>
        </w:tc>
        <w:tc>
          <w:tcPr>
            <w:tcW w:w="1134"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政府采购目录序号</w:t>
            </w:r>
          </w:p>
        </w:tc>
        <w:tc>
          <w:tcPr>
            <w:tcW w:w="709"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计量  单位</w:t>
            </w:r>
          </w:p>
        </w:tc>
        <w:tc>
          <w:tcPr>
            <w:tcW w:w="850"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数量</w:t>
            </w:r>
          </w:p>
        </w:tc>
        <w:tc>
          <w:tcPr>
            <w:tcW w:w="850"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单价</w:t>
            </w:r>
          </w:p>
        </w:tc>
        <w:tc>
          <w:tcPr>
            <w:tcW w:w="7710" w:type="dxa"/>
            <w:gridSpan w:val="8"/>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政府采购金额（当年部门预算安排资金）</w:t>
            </w:r>
          </w:p>
        </w:tc>
        <w:tc>
          <w:tcPr>
            <w:tcW w:w="964" w:type="dxa"/>
            <w:vMerge w:val="restart"/>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项目名称</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预算    资金</w:t>
            </w:r>
          </w:p>
        </w:tc>
        <w:tc>
          <w:tcPr>
            <w:tcW w:w="1134" w:type="dxa"/>
            <w:vMerge w:val="continue"/>
          </w:tcPr>
          <w:p>
            <w:pPr>
              <w:widowControl/>
              <w:jc w:val="left"/>
              <w:rPr>
                <w:rFonts w:ascii="Times New Roman" w:hAnsi="Times New Roman" w:eastAsia="Times New Roman"/>
                <w:kern w:val="0"/>
                <w:sz w:val="24"/>
                <w:lang w:eastAsia="uk-UA"/>
              </w:rPr>
            </w:pPr>
          </w:p>
        </w:tc>
        <w:tc>
          <w:tcPr>
            <w:tcW w:w="1134" w:type="dxa"/>
            <w:vMerge w:val="continue"/>
          </w:tcPr>
          <w:p>
            <w:pPr>
              <w:widowControl/>
              <w:jc w:val="left"/>
              <w:rPr>
                <w:rFonts w:ascii="Times New Roman" w:hAnsi="Times New Roman" w:eastAsia="Times New Roman"/>
                <w:kern w:val="0"/>
                <w:sz w:val="24"/>
                <w:lang w:eastAsia="uk-UA"/>
              </w:rPr>
            </w:pPr>
          </w:p>
        </w:tc>
        <w:tc>
          <w:tcPr>
            <w:tcW w:w="709" w:type="dxa"/>
            <w:vMerge w:val="continue"/>
          </w:tcPr>
          <w:p>
            <w:pPr>
              <w:widowControl/>
              <w:jc w:val="left"/>
              <w:rPr>
                <w:rFonts w:ascii="Times New Roman" w:hAnsi="Times New Roman" w:eastAsia="Times New Roman"/>
                <w:kern w:val="0"/>
                <w:sz w:val="24"/>
                <w:lang w:eastAsia="uk-UA"/>
              </w:rPr>
            </w:pPr>
          </w:p>
        </w:tc>
        <w:tc>
          <w:tcPr>
            <w:tcW w:w="850" w:type="dxa"/>
            <w:vMerge w:val="continue"/>
          </w:tcPr>
          <w:p>
            <w:pPr>
              <w:widowControl/>
              <w:jc w:val="left"/>
              <w:rPr>
                <w:rFonts w:ascii="Times New Roman" w:hAnsi="Times New Roman" w:eastAsia="Times New Roman"/>
                <w:kern w:val="0"/>
                <w:sz w:val="24"/>
                <w:lang w:eastAsia="uk-UA"/>
              </w:rPr>
            </w:pPr>
          </w:p>
        </w:tc>
        <w:tc>
          <w:tcPr>
            <w:tcW w:w="850" w:type="dxa"/>
            <w:vMerge w:val="continue"/>
          </w:tcPr>
          <w:p>
            <w:pPr>
              <w:widowControl/>
              <w:jc w:val="left"/>
              <w:rPr>
                <w:rFonts w:ascii="Times New Roman" w:hAnsi="Times New Roman" w:eastAsia="Times New Roman"/>
                <w:kern w:val="0"/>
                <w:sz w:val="24"/>
                <w:lang w:eastAsia="uk-UA"/>
              </w:rPr>
            </w:pP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合计</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一般公共预算拨款</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基金预算拨款</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国有资本经营预算拨款</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财政专户核拨</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单位    资金</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财政拨    款结转</w:t>
            </w:r>
          </w:p>
        </w:tc>
        <w:tc>
          <w:tcPr>
            <w:tcW w:w="964"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非财政    拨款结    转结余</w:t>
            </w:r>
          </w:p>
        </w:tc>
        <w:tc>
          <w:tcPr>
            <w:tcW w:w="964" w:type="dxa"/>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jc w:val="lef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1134" w:type="dxa"/>
            <w:vAlign w:val="center"/>
          </w:tcPr>
          <w:p>
            <w:pPr>
              <w:jc w:val="left"/>
              <w:rPr>
                <w:rFonts w:ascii="方正书宋_GBK" w:hAnsi="方正书宋_GBK" w:eastAsia="方正书宋_GBK" w:cs="方正书宋_GBK"/>
                <w:lang w:eastAsia="uk-UA"/>
              </w:rPr>
            </w:pPr>
          </w:p>
        </w:tc>
        <w:tc>
          <w:tcPr>
            <w:tcW w:w="1134" w:type="dxa"/>
            <w:vAlign w:val="center"/>
          </w:tcPr>
          <w:p>
            <w:pPr>
              <w:jc w:val="left"/>
              <w:rPr>
                <w:rFonts w:ascii="方正书宋_GBK" w:hAnsi="方正书宋_GBK" w:eastAsia="方正书宋_GBK" w:cs="方正书宋_GBK"/>
                <w:lang w:eastAsia="uk-UA"/>
              </w:rPr>
            </w:pPr>
          </w:p>
        </w:tc>
        <w:tc>
          <w:tcPr>
            <w:tcW w:w="709" w:type="dxa"/>
            <w:vAlign w:val="center"/>
          </w:tcPr>
          <w:p>
            <w:pPr>
              <w:jc w:val="center"/>
              <w:rPr>
                <w:rFonts w:ascii="方正书宋_GBK" w:hAnsi="方正书宋_GBK" w:eastAsia="方正书宋_GBK" w:cs="方正书宋_GBK"/>
                <w:lang w:eastAsia="uk-UA"/>
              </w:rPr>
            </w:pPr>
          </w:p>
        </w:tc>
        <w:tc>
          <w:tcPr>
            <w:tcW w:w="850" w:type="dxa"/>
            <w:vAlign w:val="center"/>
          </w:tcPr>
          <w:p>
            <w:pPr>
              <w:jc w:val="right"/>
              <w:rPr>
                <w:rFonts w:ascii="方正书宋_GBK" w:hAnsi="方正书宋_GBK" w:eastAsia="方正书宋_GBK" w:cs="方正书宋_GBK"/>
                <w:lang w:eastAsia="uk-UA"/>
              </w:rPr>
            </w:pPr>
          </w:p>
        </w:tc>
        <w:tc>
          <w:tcPr>
            <w:tcW w:w="850"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c>
          <w:tcPr>
            <w:tcW w:w="964" w:type="dxa"/>
            <w:vAlign w:val="center"/>
          </w:tcPr>
          <w:p>
            <w:pPr>
              <w:jc w:val="right"/>
              <w:rPr>
                <w:rFonts w:ascii="方正书宋_GBK" w:hAnsi="方正书宋_GBK" w:eastAsia="方正书宋_GBK" w:cs="方正书宋_GBK"/>
                <w:lang w:eastAsia="uk-UA"/>
              </w:rPr>
            </w:pPr>
          </w:p>
        </w:tc>
      </w:tr>
    </w:tbl>
    <w:p>
      <w:pPr>
        <w:widowControl/>
        <w:spacing w:line="500" w:lineRule="exact"/>
        <w:ind w:firstLine="420"/>
        <w:jc w:val="left"/>
        <w:rPr>
          <w:rFonts w:ascii="Times New Roman" w:hAnsi="Times New Roman" w:eastAsia="Times New Roman"/>
          <w:kern w:val="0"/>
          <w:sz w:val="24"/>
          <w:lang w:eastAsia="uk-UA"/>
        </w:rPr>
      </w:pPr>
      <w:r>
        <w:rPr>
          <w:rFonts w:ascii="方正书宋_GBK" w:hAnsi="方正书宋_GBK" w:eastAsia="方正书宋_GBK" w:cs="方正书宋_GBK"/>
          <w:color w:val="000000"/>
          <w:kern w:val="0"/>
          <w:lang w:eastAsia="uk-UA"/>
        </w:rPr>
        <w:t>注：同一采购目录序号的物品，其单价会因配置规格不同而变动，均符合资产配置标准。涉密采购事项按照相关规定执行。</w:t>
      </w:r>
    </w:p>
    <w:p>
      <w:pPr>
        <w:widowControl/>
        <w:ind w:firstLine="420"/>
        <w:jc w:val="left"/>
        <w:rPr>
          <w:rFonts w:ascii="Times New Roman" w:hAnsi="Times New Roman" w:eastAsia="Times New Roman"/>
          <w:kern w:val="0"/>
          <w:sz w:val="24"/>
          <w:lang w:eastAsia="uk-UA"/>
        </w:rPr>
      </w:pPr>
      <w:r>
        <w:rPr>
          <w:rFonts w:ascii="方正书宋_GBK" w:hAnsi="方正书宋_GBK" w:eastAsia="方正书宋_GBK" w:cs="方正书宋_GBK"/>
          <w:color w:val="000000"/>
          <w:kern w:val="0"/>
          <w:lang w:eastAsia="uk-UA"/>
        </w:rPr>
        <w:t>注：无政府采购预算，空表列示。</w:t>
      </w:r>
    </w:p>
    <w:p>
      <w:pPr>
        <w:widowControl/>
        <w:ind w:firstLine="64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32"/>
          <w:lang w:eastAsia="uk-UA"/>
        </w:rPr>
        <w:t xml:space="preserve"> </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七、国有资产信息</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昌黎县应急管理局（事业）上年末固定资产金额为0.00万元（详见下表）。本年度拟购置固定资产总额为0.00万元，已按要求列入政府采购预算，详见政府采购预算表。</w:t>
      </w:r>
    </w:p>
    <w:p>
      <w:pPr>
        <w:widowControl/>
        <w:jc w:val="center"/>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6"/>
          <w:lang w:eastAsia="uk-UA"/>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jc w:val="lef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426003昌黎县应急管理局（事业）</w:t>
            </w:r>
          </w:p>
        </w:tc>
        <w:tc>
          <w:tcPr>
            <w:tcW w:w="5669" w:type="dxa"/>
            <w:gridSpan w:val="2"/>
            <w:tcBorders>
              <w:top w:val="single" w:color="FFFFFF" w:sz="6" w:space="0"/>
              <w:left w:val="single" w:color="FFFFFF" w:sz="6" w:space="0"/>
              <w:right w:val="single" w:color="FFFFFF" w:sz="6" w:space="0"/>
            </w:tcBorders>
            <w:vAlign w:val="center"/>
          </w:tcPr>
          <w:p>
            <w:pPr>
              <w:jc w:val="right"/>
              <w:rPr>
                <w:rFonts w:ascii="方正小标宋_GBK" w:hAnsi="方正小标宋_GBK" w:eastAsia="方正小标宋_GBK" w:cs="方正小标宋_GBK"/>
                <w:sz w:val="24"/>
                <w:lang w:eastAsia="uk-UA"/>
              </w:rPr>
            </w:pPr>
            <w:r>
              <w:rPr>
                <w:rFonts w:ascii="方正小标宋_GBK" w:hAnsi="方正小标宋_GBK" w:eastAsia="方正小标宋_GBK" w:cs="方正小标宋_GBK"/>
                <w:sz w:val="24"/>
                <w:lang w:eastAsia="uk-UA"/>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项   目</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数量</w:t>
            </w:r>
          </w:p>
        </w:tc>
        <w:tc>
          <w:tcPr>
            <w:tcW w:w="2835" w:type="dxa"/>
            <w:vAlign w:val="center"/>
          </w:tcPr>
          <w:p>
            <w:pPr>
              <w:jc w:val="center"/>
              <w:rPr>
                <w:rFonts w:ascii="方正书宋_GBK" w:hAnsi="方正书宋_GBK" w:eastAsia="方正书宋_GBK" w:cs="方正书宋_GBK"/>
                <w:b/>
                <w:lang w:eastAsia="uk-UA"/>
              </w:rPr>
            </w:pPr>
            <w:r>
              <w:rPr>
                <w:rFonts w:ascii="方正书宋_GBK" w:hAnsi="方正书宋_GBK" w:eastAsia="方正书宋_GBK" w:cs="方正书宋_GBK"/>
                <w:b/>
                <w:lang w:eastAsia="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left"/>
              <w:rPr>
                <w:rFonts w:ascii="方正书宋_GBK" w:hAnsi="方正书宋_GBK" w:eastAsia="方正书宋_GBK" w:cs="方正书宋_GBK"/>
                <w:lang w:eastAsia="uk-UA"/>
              </w:rPr>
            </w:pPr>
          </w:p>
        </w:tc>
        <w:tc>
          <w:tcPr>
            <w:tcW w:w="2835" w:type="dxa"/>
            <w:vAlign w:val="center"/>
          </w:tcPr>
          <w:p>
            <w:pPr>
              <w:jc w:val="center"/>
              <w:rPr>
                <w:rFonts w:ascii="方正书宋_GBK" w:hAnsi="方正书宋_GBK" w:eastAsia="方正书宋_GBK" w:cs="方正书宋_GBK"/>
                <w:lang w:eastAsia="uk-UA"/>
              </w:rPr>
            </w:pPr>
          </w:p>
        </w:tc>
        <w:tc>
          <w:tcPr>
            <w:tcW w:w="2835" w:type="dxa"/>
            <w:vAlign w:val="center"/>
          </w:tcPr>
          <w:p>
            <w:pPr>
              <w:jc w:val="right"/>
              <w:rPr>
                <w:rFonts w:ascii="方正书宋_GBK" w:hAnsi="方正书宋_GBK" w:eastAsia="方正书宋_GBK" w:cs="方正书宋_GBK"/>
                <w:lang w:eastAsia="uk-UA"/>
              </w:rPr>
            </w:pPr>
          </w:p>
        </w:tc>
      </w:tr>
    </w:tbl>
    <w:p>
      <w:pPr>
        <w:widowControl/>
        <w:ind w:firstLine="420"/>
        <w:jc w:val="left"/>
        <w:rPr>
          <w:rFonts w:ascii="Times New Roman" w:hAnsi="Times New Roman" w:eastAsia="Times New Roman"/>
          <w:kern w:val="0"/>
          <w:sz w:val="24"/>
          <w:lang w:eastAsia="uk-UA"/>
        </w:rPr>
      </w:pPr>
      <w:r>
        <w:rPr>
          <w:rFonts w:ascii="方正书宋_GBK" w:hAnsi="方正书宋_GBK" w:eastAsia="方正书宋_GBK" w:cs="方正书宋_GBK"/>
          <w:color w:val="000000"/>
          <w:kern w:val="0"/>
          <w:lang w:eastAsia="uk-UA"/>
        </w:rPr>
        <w:t>注：无固定资产占用情况，空表列示。</w:t>
      </w:r>
    </w:p>
    <w:p>
      <w:pPr>
        <w:widowControl/>
        <w:ind w:firstLine="64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32"/>
          <w:lang w:eastAsia="uk-UA"/>
        </w:rPr>
        <w:t xml:space="preserve"> </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八、名词解释</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1、</w:t>
      </w:r>
      <w:r>
        <w:rPr>
          <w:rFonts w:ascii="Times New Roman" w:hAnsi="Times New Roman" w:eastAsia="方正仿宋_GBK" w:cs="Times New Roman"/>
          <w:b/>
          <w:color w:val="000000"/>
          <w:kern w:val="0"/>
          <w:sz w:val="28"/>
          <w:lang w:eastAsia="uk-UA"/>
        </w:rPr>
        <w:t>一般公共预算拨款收入：</w:t>
      </w:r>
      <w:r>
        <w:rPr>
          <w:rFonts w:ascii="Times New Roman" w:hAnsi="Times New Roman" w:eastAsia="方正仿宋_GBK" w:cs="Times New Roman"/>
          <w:color w:val="000000"/>
          <w:kern w:val="0"/>
          <w:sz w:val="28"/>
          <w:lang w:eastAsia="uk-UA"/>
        </w:rPr>
        <w:t>指</w:t>
      </w:r>
      <w:r>
        <w:rPr>
          <w:rFonts w:hint="eastAsia" w:ascii="Times New Roman" w:hAnsi="Times New Roman" w:eastAsia="方正仿宋_GBK" w:cs="Times New Roman"/>
          <w:color w:val="000000"/>
          <w:kern w:val="0"/>
          <w:sz w:val="28"/>
        </w:rPr>
        <w:t>县</w:t>
      </w:r>
      <w:r>
        <w:rPr>
          <w:rFonts w:ascii="Times New Roman" w:hAnsi="Times New Roman" w:eastAsia="方正仿宋_GBK" w:cs="Times New Roman"/>
          <w:color w:val="000000"/>
          <w:kern w:val="0"/>
          <w:sz w:val="28"/>
          <w:lang w:eastAsia="uk-UA"/>
        </w:rPr>
        <w:t>级财政当年拨付的资金。</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2、</w:t>
      </w:r>
      <w:r>
        <w:rPr>
          <w:rFonts w:ascii="Times New Roman" w:hAnsi="Times New Roman" w:eastAsia="方正仿宋_GBK" w:cs="Times New Roman"/>
          <w:b/>
          <w:color w:val="000000"/>
          <w:kern w:val="0"/>
          <w:sz w:val="28"/>
          <w:lang w:eastAsia="uk-UA"/>
        </w:rPr>
        <w:t>事业收入：</w:t>
      </w:r>
      <w:r>
        <w:rPr>
          <w:rFonts w:ascii="Times New Roman" w:hAnsi="Times New Roman" w:eastAsia="方正仿宋_GBK" w:cs="Times New Roman"/>
          <w:color w:val="000000"/>
          <w:kern w:val="0"/>
          <w:sz w:val="28"/>
          <w:lang w:eastAsia="uk-UA"/>
        </w:rPr>
        <w:t>指事业单位开展专业业务活动及辅助活动所取得的收入。</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3、</w:t>
      </w:r>
      <w:r>
        <w:rPr>
          <w:rFonts w:ascii="Times New Roman" w:hAnsi="Times New Roman" w:eastAsia="方正仿宋_GBK" w:cs="Times New Roman"/>
          <w:b/>
          <w:color w:val="000000"/>
          <w:kern w:val="0"/>
          <w:sz w:val="28"/>
          <w:lang w:eastAsia="uk-UA"/>
        </w:rPr>
        <w:t>其他收入：</w:t>
      </w:r>
      <w:r>
        <w:rPr>
          <w:rFonts w:ascii="Times New Roman" w:hAnsi="Times New Roman" w:eastAsia="方正仿宋_GBK" w:cs="Times New Roman"/>
          <w:color w:val="000000"/>
          <w:kern w:val="0"/>
          <w:sz w:val="28"/>
          <w:lang w:eastAsia="uk-UA"/>
        </w:rPr>
        <w:t>指除“一般公共预算拨款收入”、“事业收入”等以外的收入。主要是按规定动用的租房收入、存款利息收入等。</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4、</w:t>
      </w:r>
      <w:r>
        <w:rPr>
          <w:rFonts w:ascii="Times New Roman" w:hAnsi="Times New Roman" w:eastAsia="方正仿宋_GBK" w:cs="Times New Roman"/>
          <w:b/>
          <w:color w:val="000000"/>
          <w:kern w:val="0"/>
          <w:sz w:val="28"/>
          <w:lang w:eastAsia="uk-UA"/>
        </w:rPr>
        <w:t>基本支出：</w:t>
      </w:r>
      <w:r>
        <w:rPr>
          <w:rFonts w:ascii="Times New Roman" w:hAnsi="Times New Roman" w:eastAsia="方正仿宋_GBK" w:cs="Times New Roman"/>
          <w:color w:val="000000"/>
          <w:kern w:val="0"/>
          <w:sz w:val="28"/>
          <w:lang w:eastAsia="uk-UA"/>
        </w:rPr>
        <w:t>指为保障机构正常运转、完成日常工作任务而发生的人员支出和公用支出。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5、</w:t>
      </w:r>
      <w:r>
        <w:rPr>
          <w:rFonts w:ascii="Times New Roman" w:hAnsi="Times New Roman" w:eastAsia="方正仿宋_GBK" w:cs="Times New Roman"/>
          <w:b/>
          <w:color w:val="000000"/>
          <w:kern w:val="0"/>
          <w:sz w:val="28"/>
          <w:lang w:eastAsia="uk-UA"/>
        </w:rPr>
        <w:t>项目支出：</w:t>
      </w:r>
      <w:r>
        <w:rPr>
          <w:rFonts w:ascii="Times New Roman" w:hAnsi="Times New Roman" w:eastAsia="方正仿宋_GBK" w:cs="Times New Roman"/>
          <w:color w:val="000000"/>
          <w:kern w:val="0"/>
          <w:sz w:val="28"/>
          <w:lang w:eastAsia="uk-UA"/>
        </w:rPr>
        <w:t>指在基本支出之外为完成特定行政任务和事业发展目标所发生的支出。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6、</w:t>
      </w:r>
      <w:r>
        <w:rPr>
          <w:rFonts w:ascii="Times New Roman" w:hAnsi="Times New Roman" w:eastAsia="方正仿宋_GBK" w:cs="Times New Roman"/>
          <w:b/>
          <w:color w:val="000000"/>
          <w:kern w:val="0"/>
          <w:sz w:val="28"/>
          <w:lang w:eastAsia="uk-UA"/>
        </w:rPr>
        <w:t>上缴上级支出：</w:t>
      </w:r>
      <w:r>
        <w:rPr>
          <w:rFonts w:ascii="Times New Roman" w:hAnsi="Times New Roman" w:eastAsia="方正仿宋_GBK" w:cs="Times New Roman"/>
          <w:color w:val="000000"/>
          <w:kern w:val="0"/>
          <w:sz w:val="28"/>
          <w:lang w:eastAsia="uk-UA"/>
        </w:rPr>
        <w:t>指下级单位上缴上级的支出。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7、</w:t>
      </w:r>
      <w:r>
        <w:rPr>
          <w:rFonts w:ascii="Times New Roman" w:hAnsi="Times New Roman" w:eastAsia="方正仿宋_GBK" w:cs="Times New Roman"/>
          <w:b/>
          <w:color w:val="000000"/>
          <w:kern w:val="0"/>
          <w:sz w:val="28"/>
          <w:lang w:eastAsia="uk-UA"/>
        </w:rPr>
        <w:t>“三公”经费：</w:t>
      </w:r>
      <w:r>
        <w:rPr>
          <w:rFonts w:ascii="Times New Roman" w:hAnsi="Times New Roman" w:eastAsia="方正仿宋_GBK" w:cs="Times New Roman"/>
          <w:color w:val="000000"/>
          <w:kern w:val="0"/>
          <w:sz w:val="28"/>
          <w:lang w:eastAsia="uk-UA"/>
        </w:rPr>
        <w:t>纳入</w:t>
      </w:r>
      <w:r>
        <w:rPr>
          <w:rFonts w:hint="eastAsia" w:ascii="Times New Roman" w:hAnsi="Times New Roman" w:eastAsia="方正仿宋_GBK" w:cs="Times New Roman"/>
          <w:color w:val="000000"/>
          <w:kern w:val="0"/>
          <w:sz w:val="28"/>
          <w:lang w:eastAsia="uk-UA"/>
        </w:rPr>
        <w:t>县</w:t>
      </w:r>
      <w:r>
        <w:rPr>
          <w:rFonts w:ascii="Times New Roman" w:hAnsi="Times New Roman" w:eastAsia="方正仿宋_GBK" w:cs="Times New Roman"/>
          <w:color w:val="000000"/>
          <w:kern w:val="0"/>
          <w:sz w:val="28"/>
          <w:lang w:eastAsia="uk-UA"/>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8、</w:t>
      </w:r>
      <w:r>
        <w:rPr>
          <w:rFonts w:ascii="Times New Roman" w:hAnsi="Times New Roman" w:eastAsia="方正仿宋_GBK" w:cs="Times New Roman"/>
          <w:b/>
          <w:color w:val="000000"/>
          <w:kern w:val="0"/>
          <w:sz w:val="28"/>
          <w:lang w:eastAsia="uk-UA"/>
        </w:rPr>
        <w:t>机关运行费：</w:t>
      </w:r>
      <w:r>
        <w:rPr>
          <w:rFonts w:ascii="Times New Roman" w:hAnsi="Times New Roman" w:eastAsia="方正仿宋_GBK" w:cs="Times New Roman"/>
          <w:color w:val="000000"/>
          <w:kern w:val="0"/>
          <w:sz w:val="28"/>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9、</w:t>
      </w:r>
      <w:r>
        <w:rPr>
          <w:rFonts w:ascii="Times New Roman" w:hAnsi="Times New Roman" w:eastAsia="方正仿宋_GBK" w:cs="Times New Roman"/>
          <w:b/>
          <w:color w:val="000000"/>
          <w:kern w:val="0"/>
          <w:sz w:val="28"/>
          <w:lang w:eastAsia="uk-UA"/>
        </w:rPr>
        <w:t>上年结转：</w:t>
      </w:r>
      <w:r>
        <w:rPr>
          <w:rFonts w:ascii="Times New Roman" w:hAnsi="Times New Roman" w:eastAsia="方正仿宋_GBK" w:cs="Times New Roman"/>
          <w:color w:val="000000"/>
          <w:kern w:val="0"/>
          <w:sz w:val="28"/>
          <w:lang w:eastAsia="uk-UA"/>
        </w:rPr>
        <w:t>指以前年度尚未完成、结转到本年仍按原规定用途继续使用的资金。</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10、</w:t>
      </w:r>
      <w:r>
        <w:rPr>
          <w:rFonts w:ascii="Times New Roman" w:hAnsi="Times New Roman" w:eastAsia="方正仿宋_GBK" w:cs="Times New Roman"/>
          <w:b/>
          <w:color w:val="000000"/>
          <w:kern w:val="0"/>
          <w:sz w:val="28"/>
          <w:lang w:eastAsia="uk-UA"/>
        </w:rPr>
        <w:t>事业单位经营支出：</w:t>
      </w:r>
      <w:r>
        <w:rPr>
          <w:rFonts w:ascii="Times New Roman" w:hAnsi="Times New Roman" w:eastAsia="方正仿宋_GBK" w:cs="Times New Roman"/>
          <w:color w:val="000000"/>
          <w:kern w:val="0"/>
          <w:sz w:val="28"/>
          <w:lang w:eastAsia="uk-UA"/>
        </w:rPr>
        <w:t>指事业单位在专业业务活动及其辅助活动之外开展非独立核算经营活动发生的支出。</w:t>
      </w:r>
    </w:p>
    <w:p>
      <w:pPr>
        <w:widowControl/>
        <w:spacing w:before="10" w:after="10"/>
        <w:ind w:firstLine="640"/>
        <w:jc w:val="left"/>
        <w:outlineLvl w:val="5"/>
        <w:rPr>
          <w:rFonts w:ascii="Times New Roman" w:hAnsi="Times New Roman" w:eastAsia="Times New Roman"/>
          <w:kern w:val="0"/>
          <w:sz w:val="24"/>
          <w:lang w:eastAsia="uk-UA"/>
        </w:rPr>
      </w:pPr>
      <w:r>
        <w:rPr>
          <w:rFonts w:ascii="黑体" w:hAnsi="黑体" w:eastAsia="黑体" w:cs="黑体"/>
          <w:color w:val="000000"/>
          <w:kern w:val="0"/>
          <w:sz w:val="32"/>
          <w:lang w:eastAsia="uk-UA"/>
        </w:rPr>
        <w:t>九、其他需要说明的事项</w:t>
      </w:r>
    </w:p>
    <w:p>
      <w:pPr>
        <w:widowControl/>
        <w:spacing w:line="500" w:lineRule="exact"/>
        <w:ind w:firstLine="560"/>
        <w:jc w:val="left"/>
        <w:rPr>
          <w:rFonts w:ascii="Times New Roman" w:hAnsi="Times New Roman" w:eastAsia="Times New Roman"/>
          <w:kern w:val="0"/>
          <w:sz w:val="24"/>
          <w:lang w:eastAsia="uk-UA"/>
        </w:rPr>
      </w:pPr>
      <w:r>
        <w:rPr>
          <w:rFonts w:ascii="Times New Roman" w:hAnsi="Times New Roman" w:eastAsia="方正仿宋_GBK" w:cs="Times New Roman"/>
          <w:color w:val="000000"/>
          <w:kern w:val="0"/>
          <w:sz w:val="28"/>
          <w:lang w:eastAsia="uk-UA"/>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righ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begin"/>
                          </w:r>
                          <w:r>
                            <w:rPr>
                              <w:rFonts w:ascii="Times New Roman" w:hAnsi="Times New Roman" w:eastAsia="Times New Roman"/>
                              <w:kern w:val="0"/>
                              <w:sz w:val="24"/>
                              <w:lang w:eastAsia="uk-UA"/>
                            </w:rPr>
                            <w:instrText xml:space="preserve"> PAGE  \* MERGEFORMAT </w:instrText>
                          </w:r>
                          <w:r>
                            <w:rPr>
                              <w:rFonts w:ascii="Times New Roman" w:hAnsi="Times New Roman" w:eastAsia="Times New Roman"/>
                              <w:kern w:val="0"/>
                              <w:sz w:val="24"/>
                              <w:lang w:eastAsia="uk-UA"/>
                            </w:rPr>
                            <w:fldChar w:fldCharType="separate"/>
                          </w:r>
                          <w:r>
                            <w:rPr>
                              <w:rFonts w:ascii="Times New Roman" w:hAnsi="Times New Roman" w:eastAsia="Times New Roman"/>
                              <w:kern w:val="0"/>
                              <w:sz w:val="24"/>
                              <w:lang w:eastAsia="uk-UA"/>
                            </w:rPr>
                            <w:t>56</w:t>
                          </w:r>
                          <w:r>
                            <w:rPr>
                              <w:rFonts w:ascii="Times New Roman" w:hAnsi="Times New Roman" w:eastAsia="Times New Roman"/>
                              <w:kern w:val="0"/>
                              <w:sz w:val="24"/>
                              <w:lang w:eastAsia="uk-U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widowControl/>
                      <w:jc w:val="righ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begin"/>
                    </w:r>
                    <w:r>
                      <w:rPr>
                        <w:rFonts w:ascii="Times New Roman" w:hAnsi="Times New Roman" w:eastAsia="Times New Roman"/>
                        <w:kern w:val="0"/>
                        <w:sz w:val="24"/>
                        <w:lang w:eastAsia="uk-UA"/>
                      </w:rPr>
                      <w:instrText xml:space="preserve"> PAGE  \* MERGEFORMAT </w:instrText>
                    </w:r>
                    <w:r>
                      <w:rPr>
                        <w:rFonts w:ascii="Times New Roman" w:hAnsi="Times New Roman" w:eastAsia="Times New Roman"/>
                        <w:kern w:val="0"/>
                        <w:sz w:val="24"/>
                        <w:lang w:eastAsia="uk-UA"/>
                      </w:rPr>
                      <w:fldChar w:fldCharType="separate"/>
                    </w:r>
                    <w:r>
                      <w:rPr>
                        <w:rFonts w:ascii="Times New Roman" w:hAnsi="Times New Roman" w:eastAsia="Times New Roman"/>
                        <w:kern w:val="0"/>
                        <w:sz w:val="24"/>
                        <w:lang w:eastAsia="uk-UA"/>
                      </w:rPr>
                      <w:t>56</w:t>
                    </w:r>
                    <w:r>
                      <w:rPr>
                        <w:rFonts w:ascii="Times New Roman" w:hAnsi="Times New Roman" w:eastAsia="Times New Roman"/>
                        <w:kern w:val="0"/>
                        <w:sz w:val="24"/>
                        <w:lang w:eastAsia="uk-U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5AFE14"/>
    <w:multiLevelType w:val="singleLevel"/>
    <w:tmpl w:val="ED5AFE1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zIyZjgyYWE2ZWEwMGRkZjE2MjVjNjVkYzljMzYifQ=="/>
  </w:docVars>
  <w:rsids>
    <w:rsidRoot w:val="3B6A7290"/>
    <w:rsid w:val="00651B18"/>
    <w:rsid w:val="00675D64"/>
    <w:rsid w:val="00921CA2"/>
    <w:rsid w:val="00BB27F6"/>
    <w:rsid w:val="00CD50C9"/>
    <w:rsid w:val="00F42C3E"/>
    <w:rsid w:val="00F90F7A"/>
    <w:rsid w:val="16E21092"/>
    <w:rsid w:val="3B6A7290"/>
    <w:rsid w:val="47F0751C"/>
    <w:rsid w:val="4AD21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58</Pages>
  <Words>3375</Words>
  <Characters>19240</Characters>
  <Lines>160</Lines>
  <Paragraphs>45</Paragraphs>
  <TotalTime>15</TotalTime>
  <ScaleCrop>false</ScaleCrop>
  <LinksUpToDate>false</LinksUpToDate>
  <CharactersWithSpaces>22570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2023-03-20T02:09:00Z</dcterms:created>
  <dc:creator>admin</dc:creator>
  <cp:lastModifiedBy>Administrator</cp:lastModifiedBy>
  <dcterms:modified xsi:type="dcterms:W3CDTF">2024-07-15T01:14:18Z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A5E2C9325E73468C9E84AC5CB72B4D25</vt:lpwstr>
  </property>
</Properties>
</file>