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w:t>
      </w:r>
      <w:bookmarkStart w:id="20" w:name="_GoBack"/>
      <w:bookmarkEnd w:id="20"/>
      <w:r>
        <w:rPr>
          <w:rFonts w:ascii="黑体" w:hAnsi="黑体" w:eastAsia="黑体" w:cs="黑体"/>
          <w:b/>
          <w:color w:val="000000"/>
          <w:sz w:val="44"/>
        </w:rPr>
        <w:t>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321昌黎县招商中心</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151.63</w:t>
            </w:r>
          </w:p>
        </w:tc>
        <w:tc>
          <w:tcPr>
            <w:tcW w:w="4535" w:type="dxa"/>
            <w:vAlign w:val="center"/>
          </w:tcPr>
          <w:p>
            <w:pPr>
              <w:pStyle w:val="13"/>
            </w:pPr>
            <w:r>
              <w:t>一、一般公共服务支出</w:t>
            </w:r>
          </w:p>
        </w:tc>
        <w:tc>
          <w:tcPr>
            <w:tcW w:w="2126" w:type="dxa"/>
            <w:vAlign w:val="center"/>
          </w:tcPr>
          <w:p>
            <w:pPr>
              <w:pStyle w:val="12"/>
            </w:pPr>
            <w:r>
              <w:t>131.48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151.63</w:t>
            </w:r>
          </w:p>
        </w:tc>
        <w:tc>
          <w:tcPr>
            <w:tcW w:w="4535" w:type="dxa"/>
            <w:vAlign w:val="center"/>
          </w:tcPr>
          <w:p>
            <w:pPr>
              <w:pStyle w:val="15"/>
            </w:pPr>
            <w:r>
              <w:t>本年支出合计</w:t>
            </w:r>
          </w:p>
        </w:tc>
        <w:tc>
          <w:tcPr>
            <w:tcW w:w="2126" w:type="dxa"/>
            <w:vAlign w:val="center"/>
          </w:tcPr>
          <w:p>
            <w:pPr>
              <w:pStyle w:val="16"/>
            </w:pPr>
            <w:r>
              <w:t>151.63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151.63</w:t>
            </w:r>
          </w:p>
        </w:tc>
        <w:tc>
          <w:tcPr>
            <w:tcW w:w="4535" w:type="dxa"/>
            <w:vAlign w:val="center"/>
          </w:tcPr>
          <w:p>
            <w:pPr>
              <w:pStyle w:val="15"/>
            </w:pPr>
            <w:r>
              <w:t>支出总计</w:t>
            </w:r>
          </w:p>
        </w:tc>
        <w:tc>
          <w:tcPr>
            <w:tcW w:w="2126" w:type="dxa"/>
            <w:vAlign w:val="center"/>
          </w:tcPr>
          <w:p>
            <w:pPr>
              <w:pStyle w:val="16"/>
            </w:pPr>
            <w:r>
              <w:t>151.63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321昌黎县招商中心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151.63</w:t>
            </w:r>
          </w:p>
        </w:tc>
        <w:tc>
          <w:tcPr>
            <w:tcW w:w="1134" w:type="dxa"/>
            <w:vAlign w:val="center"/>
          </w:tcPr>
          <w:p>
            <w:pPr>
              <w:pStyle w:val="16"/>
            </w:pPr>
            <w:r>
              <w:t>151.63</w:t>
            </w:r>
          </w:p>
        </w:tc>
        <w:tc>
          <w:tcPr>
            <w:tcW w:w="1134" w:type="dxa"/>
            <w:vAlign w:val="center"/>
          </w:tcPr>
          <w:p>
            <w:pPr>
              <w:pStyle w:val="16"/>
            </w:pPr>
            <w:r>
              <w:t>151.63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131.48</w:t>
            </w:r>
          </w:p>
        </w:tc>
        <w:tc>
          <w:tcPr>
            <w:tcW w:w="1134" w:type="dxa"/>
            <w:vAlign w:val="center"/>
          </w:tcPr>
          <w:p>
            <w:pPr>
              <w:pStyle w:val="12"/>
            </w:pPr>
            <w:r>
              <w:t>131.48</w:t>
            </w:r>
          </w:p>
        </w:tc>
        <w:tc>
          <w:tcPr>
            <w:tcW w:w="1134" w:type="dxa"/>
            <w:vAlign w:val="center"/>
          </w:tcPr>
          <w:p>
            <w:pPr>
              <w:pStyle w:val="12"/>
            </w:pPr>
            <w:r>
              <w:t>131.48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20113</w:t>
            </w:r>
          </w:p>
        </w:tc>
        <w:tc>
          <w:tcPr>
            <w:tcW w:w="1559" w:type="dxa"/>
            <w:vAlign w:val="center"/>
          </w:tcPr>
          <w:p>
            <w:pPr>
              <w:pStyle w:val="13"/>
            </w:pPr>
            <w:r>
              <w:t>商贸事务</w:t>
            </w:r>
          </w:p>
        </w:tc>
        <w:tc>
          <w:tcPr>
            <w:tcW w:w="1134" w:type="dxa"/>
            <w:vAlign w:val="center"/>
          </w:tcPr>
          <w:p>
            <w:pPr>
              <w:pStyle w:val="12"/>
            </w:pPr>
            <w:r>
              <w:t>131.48</w:t>
            </w:r>
          </w:p>
        </w:tc>
        <w:tc>
          <w:tcPr>
            <w:tcW w:w="1134" w:type="dxa"/>
            <w:vAlign w:val="center"/>
          </w:tcPr>
          <w:p>
            <w:pPr>
              <w:pStyle w:val="12"/>
            </w:pPr>
            <w:r>
              <w:t>131.48</w:t>
            </w:r>
          </w:p>
        </w:tc>
        <w:tc>
          <w:tcPr>
            <w:tcW w:w="1134" w:type="dxa"/>
            <w:vAlign w:val="center"/>
          </w:tcPr>
          <w:p>
            <w:pPr>
              <w:pStyle w:val="12"/>
            </w:pPr>
            <w:r>
              <w:t>131.48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2011308</w:t>
            </w:r>
          </w:p>
        </w:tc>
        <w:tc>
          <w:tcPr>
            <w:tcW w:w="1559" w:type="dxa"/>
            <w:vAlign w:val="center"/>
          </w:tcPr>
          <w:p>
            <w:pPr>
              <w:pStyle w:val="13"/>
            </w:pPr>
            <w:r>
              <w:t>招商引资</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2011350</w:t>
            </w:r>
          </w:p>
        </w:tc>
        <w:tc>
          <w:tcPr>
            <w:tcW w:w="1559" w:type="dxa"/>
            <w:vAlign w:val="center"/>
          </w:tcPr>
          <w:p>
            <w:pPr>
              <w:pStyle w:val="13"/>
            </w:pPr>
            <w:r>
              <w:t>事业运行</w:t>
            </w:r>
          </w:p>
        </w:tc>
        <w:tc>
          <w:tcPr>
            <w:tcW w:w="1134" w:type="dxa"/>
            <w:vAlign w:val="center"/>
          </w:tcPr>
          <w:p>
            <w:pPr>
              <w:pStyle w:val="12"/>
            </w:pPr>
            <w:r>
              <w:t>81.48</w:t>
            </w:r>
          </w:p>
        </w:tc>
        <w:tc>
          <w:tcPr>
            <w:tcW w:w="1134" w:type="dxa"/>
            <w:vAlign w:val="center"/>
          </w:tcPr>
          <w:p>
            <w:pPr>
              <w:pStyle w:val="12"/>
            </w:pPr>
            <w:r>
              <w:t>81.48</w:t>
            </w:r>
          </w:p>
        </w:tc>
        <w:tc>
          <w:tcPr>
            <w:tcW w:w="1134" w:type="dxa"/>
            <w:vAlign w:val="center"/>
          </w:tcPr>
          <w:p>
            <w:pPr>
              <w:pStyle w:val="12"/>
            </w:pPr>
            <w:r>
              <w:t>81.48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9.43</w:t>
            </w:r>
          </w:p>
        </w:tc>
        <w:tc>
          <w:tcPr>
            <w:tcW w:w="1134" w:type="dxa"/>
            <w:vAlign w:val="center"/>
          </w:tcPr>
          <w:p>
            <w:pPr>
              <w:pStyle w:val="12"/>
            </w:pPr>
            <w:r>
              <w:t>9.43</w:t>
            </w:r>
          </w:p>
        </w:tc>
        <w:tc>
          <w:tcPr>
            <w:tcW w:w="1134" w:type="dxa"/>
            <w:vAlign w:val="center"/>
          </w:tcPr>
          <w:p>
            <w:pPr>
              <w:pStyle w:val="12"/>
            </w:pPr>
            <w:r>
              <w:t>9.43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9.43</w:t>
            </w:r>
          </w:p>
        </w:tc>
        <w:tc>
          <w:tcPr>
            <w:tcW w:w="1134" w:type="dxa"/>
            <w:vAlign w:val="center"/>
          </w:tcPr>
          <w:p>
            <w:pPr>
              <w:pStyle w:val="12"/>
            </w:pPr>
            <w:r>
              <w:t>9.43</w:t>
            </w:r>
          </w:p>
        </w:tc>
        <w:tc>
          <w:tcPr>
            <w:tcW w:w="1134" w:type="dxa"/>
            <w:vAlign w:val="center"/>
          </w:tcPr>
          <w:p>
            <w:pPr>
              <w:pStyle w:val="12"/>
            </w:pPr>
            <w:r>
              <w:t>9.43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9.43</w:t>
            </w:r>
          </w:p>
        </w:tc>
        <w:tc>
          <w:tcPr>
            <w:tcW w:w="1134" w:type="dxa"/>
            <w:vAlign w:val="center"/>
          </w:tcPr>
          <w:p>
            <w:pPr>
              <w:pStyle w:val="12"/>
            </w:pPr>
            <w:r>
              <w:t>9.43</w:t>
            </w:r>
          </w:p>
        </w:tc>
        <w:tc>
          <w:tcPr>
            <w:tcW w:w="1134" w:type="dxa"/>
            <w:vAlign w:val="center"/>
          </w:tcPr>
          <w:p>
            <w:pPr>
              <w:pStyle w:val="12"/>
            </w:pPr>
            <w:r>
              <w:t>9.43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5.70</w:t>
            </w:r>
          </w:p>
        </w:tc>
        <w:tc>
          <w:tcPr>
            <w:tcW w:w="1134" w:type="dxa"/>
            <w:vAlign w:val="center"/>
          </w:tcPr>
          <w:p>
            <w:pPr>
              <w:pStyle w:val="12"/>
            </w:pPr>
            <w:r>
              <w:t>5.70</w:t>
            </w:r>
          </w:p>
        </w:tc>
        <w:tc>
          <w:tcPr>
            <w:tcW w:w="1134" w:type="dxa"/>
            <w:vAlign w:val="center"/>
          </w:tcPr>
          <w:p>
            <w:pPr>
              <w:pStyle w:val="12"/>
            </w:pPr>
            <w:r>
              <w:t>5.70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5.70</w:t>
            </w:r>
          </w:p>
        </w:tc>
        <w:tc>
          <w:tcPr>
            <w:tcW w:w="1134" w:type="dxa"/>
            <w:vAlign w:val="center"/>
          </w:tcPr>
          <w:p>
            <w:pPr>
              <w:pStyle w:val="12"/>
            </w:pPr>
            <w:r>
              <w:t>5.70</w:t>
            </w:r>
          </w:p>
        </w:tc>
        <w:tc>
          <w:tcPr>
            <w:tcW w:w="1134" w:type="dxa"/>
            <w:vAlign w:val="center"/>
          </w:tcPr>
          <w:p>
            <w:pPr>
              <w:pStyle w:val="12"/>
            </w:pPr>
            <w:r>
              <w:t>5.70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5.70</w:t>
            </w:r>
          </w:p>
        </w:tc>
        <w:tc>
          <w:tcPr>
            <w:tcW w:w="1134" w:type="dxa"/>
            <w:vAlign w:val="center"/>
          </w:tcPr>
          <w:p>
            <w:pPr>
              <w:pStyle w:val="12"/>
            </w:pPr>
            <w:r>
              <w:t>5.70</w:t>
            </w:r>
          </w:p>
        </w:tc>
        <w:tc>
          <w:tcPr>
            <w:tcW w:w="1134" w:type="dxa"/>
            <w:vAlign w:val="center"/>
          </w:tcPr>
          <w:p>
            <w:pPr>
              <w:pStyle w:val="12"/>
            </w:pPr>
            <w:r>
              <w:t>5.70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5.02</w:t>
            </w:r>
          </w:p>
        </w:tc>
        <w:tc>
          <w:tcPr>
            <w:tcW w:w="1134" w:type="dxa"/>
            <w:vAlign w:val="center"/>
          </w:tcPr>
          <w:p>
            <w:pPr>
              <w:pStyle w:val="12"/>
            </w:pPr>
            <w:r>
              <w:t>5.02</w:t>
            </w:r>
          </w:p>
        </w:tc>
        <w:tc>
          <w:tcPr>
            <w:tcW w:w="1134" w:type="dxa"/>
            <w:vAlign w:val="center"/>
          </w:tcPr>
          <w:p>
            <w:pPr>
              <w:pStyle w:val="12"/>
            </w:pPr>
            <w:r>
              <w:t>5.02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5.02</w:t>
            </w:r>
          </w:p>
        </w:tc>
        <w:tc>
          <w:tcPr>
            <w:tcW w:w="1134" w:type="dxa"/>
            <w:vAlign w:val="center"/>
          </w:tcPr>
          <w:p>
            <w:pPr>
              <w:pStyle w:val="12"/>
            </w:pPr>
            <w:r>
              <w:t>5.02</w:t>
            </w:r>
          </w:p>
        </w:tc>
        <w:tc>
          <w:tcPr>
            <w:tcW w:w="1134" w:type="dxa"/>
            <w:vAlign w:val="center"/>
          </w:tcPr>
          <w:p>
            <w:pPr>
              <w:pStyle w:val="12"/>
            </w:pPr>
            <w:r>
              <w:t>5.02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5.02</w:t>
            </w:r>
          </w:p>
        </w:tc>
        <w:tc>
          <w:tcPr>
            <w:tcW w:w="1134" w:type="dxa"/>
            <w:vAlign w:val="center"/>
          </w:tcPr>
          <w:p>
            <w:pPr>
              <w:pStyle w:val="12"/>
            </w:pPr>
            <w:r>
              <w:t>5.02</w:t>
            </w:r>
          </w:p>
        </w:tc>
        <w:tc>
          <w:tcPr>
            <w:tcW w:w="1134" w:type="dxa"/>
            <w:vAlign w:val="center"/>
          </w:tcPr>
          <w:p>
            <w:pPr>
              <w:pStyle w:val="12"/>
            </w:pPr>
            <w:r>
              <w:t>5.02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321昌黎县招商中心</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151.63</w:t>
            </w:r>
          </w:p>
        </w:tc>
        <w:tc>
          <w:tcPr>
            <w:tcW w:w="1361" w:type="dxa"/>
            <w:vAlign w:val="center"/>
          </w:tcPr>
          <w:p>
            <w:pPr>
              <w:pStyle w:val="16"/>
            </w:pPr>
            <w:r>
              <w:t>101.63</w:t>
            </w:r>
          </w:p>
        </w:tc>
        <w:tc>
          <w:tcPr>
            <w:tcW w:w="1361" w:type="dxa"/>
            <w:vAlign w:val="center"/>
          </w:tcPr>
          <w:p>
            <w:pPr>
              <w:pStyle w:val="16"/>
            </w:pPr>
            <w:r>
              <w:t>50.00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131.48</w:t>
            </w:r>
          </w:p>
        </w:tc>
        <w:tc>
          <w:tcPr>
            <w:tcW w:w="1361" w:type="dxa"/>
            <w:vAlign w:val="center"/>
          </w:tcPr>
          <w:p>
            <w:pPr>
              <w:pStyle w:val="12"/>
            </w:pPr>
            <w:r>
              <w:t>81.48</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20113</w:t>
            </w:r>
          </w:p>
        </w:tc>
        <w:tc>
          <w:tcPr>
            <w:tcW w:w="4535" w:type="dxa"/>
            <w:vAlign w:val="center"/>
          </w:tcPr>
          <w:p>
            <w:pPr>
              <w:pStyle w:val="13"/>
            </w:pPr>
            <w:r>
              <w:t>商贸事务</w:t>
            </w:r>
          </w:p>
        </w:tc>
        <w:tc>
          <w:tcPr>
            <w:tcW w:w="1361" w:type="dxa"/>
            <w:vAlign w:val="center"/>
          </w:tcPr>
          <w:p>
            <w:pPr>
              <w:pStyle w:val="12"/>
            </w:pPr>
            <w:r>
              <w:t>131.48</w:t>
            </w:r>
          </w:p>
        </w:tc>
        <w:tc>
          <w:tcPr>
            <w:tcW w:w="1361" w:type="dxa"/>
            <w:vAlign w:val="center"/>
          </w:tcPr>
          <w:p>
            <w:pPr>
              <w:pStyle w:val="12"/>
            </w:pPr>
            <w:r>
              <w:t>81.48</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2011308</w:t>
            </w:r>
          </w:p>
        </w:tc>
        <w:tc>
          <w:tcPr>
            <w:tcW w:w="4535" w:type="dxa"/>
            <w:vAlign w:val="center"/>
          </w:tcPr>
          <w:p>
            <w:pPr>
              <w:pStyle w:val="13"/>
            </w:pPr>
            <w:r>
              <w:t>招商引资</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2011350</w:t>
            </w:r>
          </w:p>
        </w:tc>
        <w:tc>
          <w:tcPr>
            <w:tcW w:w="4535" w:type="dxa"/>
            <w:vAlign w:val="center"/>
          </w:tcPr>
          <w:p>
            <w:pPr>
              <w:pStyle w:val="13"/>
            </w:pPr>
            <w:r>
              <w:t>事业运行</w:t>
            </w:r>
          </w:p>
        </w:tc>
        <w:tc>
          <w:tcPr>
            <w:tcW w:w="1361" w:type="dxa"/>
            <w:vAlign w:val="center"/>
          </w:tcPr>
          <w:p>
            <w:pPr>
              <w:pStyle w:val="12"/>
            </w:pPr>
            <w:r>
              <w:t>81.48</w:t>
            </w:r>
          </w:p>
        </w:tc>
        <w:tc>
          <w:tcPr>
            <w:tcW w:w="1361" w:type="dxa"/>
            <w:vAlign w:val="center"/>
          </w:tcPr>
          <w:p>
            <w:pPr>
              <w:pStyle w:val="12"/>
            </w:pPr>
            <w:r>
              <w:t>81.48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9.43</w:t>
            </w:r>
          </w:p>
        </w:tc>
        <w:tc>
          <w:tcPr>
            <w:tcW w:w="1361" w:type="dxa"/>
            <w:vAlign w:val="center"/>
          </w:tcPr>
          <w:p>
            <w:pPr>
              <w:pStyle w:val="12"/>
            </w:pPr>
            <w:r>
              <w:t>9.43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9.43</w:t>
            </w:r>
          </w:p>
        </w:tc>
        <w:tc>
          <w:tcPr>
            <w:tcW w:w="1361" w:type="dxa"/>
            <w:vAlign w:val="center"/>
          </w:tcPr>
          <w:p>
            <w:pPr>
              <w:pStyle w:val="12"/>
            </w:pPr>
            <w:r>
              <w:t>9.43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9.43</w:t>
            </w:r>
          </w:p>
        </w:tc>
        <w:tc>
          <w:tcPr>
            <w:tcW w:w="1361" w:type="dxa"/>
            <w:vAlign w:val="center"/>
          </w:tcPr>
          <w:p>
            <w:pPr>
              <w:pStyle w:val="12"/>
            </w:pPr>
            <w:r>
              <w:t>9.43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5.70</w:t>
            </w:r>
          </w:p>
        </w:tc>
        <w:tc>
          <w:tcPr>
            <w:tcW w:w="1361" w:type="dxa"/>
            <w:vAlign w:val="center"/>
          </w:tcPr>
          <w:p>
            <w:pPr>
              <w:pStyle w:val="12"/>
            </w:pPr>
            <w:r>
              <w:t>5.70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5.70</w:t>
            </w:r>
          </w:p>
        </w:tc>
        <w:tc>
          <w:tcPr>
            <w:tcW w:w="1361" w:type="dxa"/>
            <w:vAlign w:val="center"/>
          </w:tcPr>
          <w:p>
            <w:pPr>
              <w:pStyle w:val="12"/>
            </w:pPr>
            <w:r>
              <w:t>5.70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5.70</w:t>
            </w:r>
          </w:p>
        </w:tc>
        <w:tc>
          <w:tcPr>
            <w:tcW w:w="1361" w:type="dxa"/>
            <w:vAlign w:val="center"/>
          </w:tcPr>
          <w:p>
            <w:pPr>
              <w:pStyle w:val="12"/>
            </w:pPr>
            <w:r>
              <w:t>5.70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5.02</w:t>
            </w:r>
          </w:p>
        </w:tc>
        <w:tc>
          <w:tcPr>
            <w:tcW w:w="1361" w:type="dxa"/>
            <w:vAlign w:val="center"/>
          </w:tcPr>
          <w:p>
            <w:pPr>
              <w:pStyle w:val="12"/>
            </w:pPr>
            <w:r>
              <w:t>5.02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5.02</w:t>
            </w:r>
          </w:p>
        </w:tc>
        <w:tc>
          <w:tcPr>
            <w:tcW w:w="1361" w:type="dxa"/>
            <w:vAlign w:val="center"/>
          </w:tcPr>
          <w:p>
            <w:pPr>
              <w:pStyle w:val="12"/>
            </w:pPr>
            <w:r>
              <w:t>5.02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5.02</w:t>
            </w:r>
          </w:p>
        </w:tc>
        <w:tc>
          <w:tcPr>
            <w:tcW w:w="1361" w:type="dxa"/>
            <w:vAlign w:val="center"/>
          </w:tcPr>
          <w:p>
            <w:pPr>
              <w:pStyle w:val="12"/>
            </w:pPr>
            <w:r>
              <w:t>5.02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321昌黎县招商中心</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151.63</w:t>
            </w:r>
          </w:p>
        </w:tc>
        <w:tc>
          <w:tcPr>
            <w:tcW w:w="3402" w:type="dxa"/>
            <w:vAlign w:val="center"/>
          </w:tcPr>
          <w:p>
            <w:pPr>
              <w:pStyle w:val="13"/>
            </w:pPr>
            <w:r>
              <w:t>一、一般公共服务支出</w:t>
            </w:r>
          </w:p>
        </w:tc>
        <w:tc>
          <w:tcPr>
            <w:tcW w:w="1474" w:type="dxa"/>
            <w:vAlign w:val="center"/>
          </w:tcPr>
          <w:p>
            <w:pPr>
              <w:pStyle w:val="12"/>
            </w:pPr>
            <w:r>
              <w:t>131.48</w:t>
            </w:r>
          </w:p>
        </w:tc>
        <w:tc>
          <w:tcPr>
            <w:tcW w:w="1474" w:type="dxa"/>
            <w:vAlign w:val="center"/>
          </w:tcPr>
          <w:p>
            <w:pPr>
              <w:pStyle w:val="12"/>
            </w:pPr>
            <w:r>
              <w:t>131.48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9.43</w:t>
            </w:r>
          </w:p>
        </w:tc>
        <w:tc>
          <w:tcPr>
            <w:tcW w:w="1474" w:type="dxa"/>
            <w:vAlign w:val="center"/>
          </w:tcPr>
          <w:p>
            <w:pPr>
              <w:pStyle w:val="12"/>
            </w:pPr>
            <w:r>
              <w:t>9.43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5.70</w:t>
            </w:r>
          </w:p>
        </w:tc>
        <w:tc>
          <w:tcPr>
            <w:tcW w:w="1474" w:type="dxa"/>
            <w:vAlign w:val="center"/>
          </w:tcPr>
          <w:p>
            <w:pPr>
              <w:pStyle w:val="12"/>
            </w:pPr>
            <w:r>
              <w:t>5.70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5.02</w:t>
            </w:r>
          </w:p>
        </w:tc>
        <w:tc>
          <w:tcPr>
            <w:tcW w:w="1474" w:type="dxa"/>
            <w:vAlign w:val="center"/>
          </w:tcPr>
          <w:p>
            <w:pPr>
              <w:pStyle w:val="12"/>
            </w:pPr>
            <w:r>
              <w:t>5.02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151.63</w:t>
            </w:r>
          </w:p>
        </w:tc>
        <w:tc>
          <w:tcPr>
            <w:tcW w:w="3402" w:type="dxa"/>
            <w:vAlign w:val="center"/>
          </w:tcPr>
          <w:p>
            <w:pPr>
              <w:pStyle w:val="15"/>
            </w:pPr>
            <w:r>
              <w:t>本年支出合计</w:t>
            </w:r>
          </w:p>
        </w:tc>
        <w:tc>
          <w:tcPr>
            <w:tcW w:w="1474" w:type="dxa"/>
            <w:vAlign w:val="center"/>
          </w:tcPr>
          <w:p>
            <w:pPr>
              <w:pStyle w:val="16"/>
            </w:pPr>
            <w:r>
              <w:t>151.63</w:t>
            </w:r>
          </w:p>
        </w:tc>
        <w:tc>
          <w:tcPr>
            <w:tcW w:w="1474" w:type="dxa"/>
            <w:vAlign w:val="center"/>
          </w:tcPr>
          <w:p>
            <w:pPr>
              <w:pStyle w:val="16"/>
            </w:pPr>
            <w:r>
              <w:t>151.63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151.63</w:t>
            </w:r>
          </w:p>
        </w:tc>
        <w:tc>
          <w:tcPr>
            <w:tcW w:w="3402" w:type="dxa"/>
            <w:vAlign w:val="center"/>
          </w:tcPr>
          <w:p>
            <w:pPr>
              <w:pStyle w:val="15"/>
            </w:pPr>
            <w:r>
              <w:t>支出总计</w:t>
            </w:r>
          </w:p>
        </w:tc>
        <w:tc>
          <w:tcPr>
            <w:tcW w:w="1474" w:type="dxa"/>
            <w:vAlign w:val="center"/>
          </w:tcPr>
          <w:p>
            <w:pPr>
              <w:pStyle w:val="16"/>
            </w:pPr>
            <w:r>
              <w:t>151.63</w:t>
            </w:r>
          </w:p>
        </w:tc>
        <w:tc>
          <w:tcPr>
            <w:tcW w:w="1474" w:type="dxa"/>
            <w:vAlign w:val="center"/>
          </w:tcPr>
          <w:p>
            <w:pPr>
              <w:pStyle w:val="16"/>
            </w:pPr>
            <w:r>
              <w:t>151.63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321昌黎县招商中心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151.63</w:t>
            </w:r>
          </w:p>
        </w:tc>
        <w:tc>
          <w:tcPr>
            <w:tcW w:w="2551" w:type="dxa"/>
            <w:vAlign w:val="center"/>
          </w:tcPr>
          <w:p>
            <w:pPr>
              <w:pStyle w:val="16"/>
            </w:pPr>
            <w:r>
              <w:t>101.63</w:t>
            </w:r>
          </w:p>
        </w:tc>
        <w:tc>
          <w:tcPr>
            <w:tcW w:w="2551" w:type="dxa"/>
            <w:vAlign w:val="center"/>
          </w:tcPr>
          <w:p>
            <w:pPr>
              <w:pStyle w:val="16"/>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131.48</w:t>
            </w:r>
          </w:p>
        </w:tc>
        <w:tc>
          <w:tcPr>
            <w:tcW w:w="2551" w:type="dxa"/>
            <w:vAlign w:val="center"/>
          </w:tcPr>
          <w:p>
            <w:pPr>
              <w:pStyle w:val="12"/>
            </w:pPr>
            <w:r>
              <w:t>81.48</w:t>
            </w:r>
          </w:p>
        </w:tc>
        <w:tc>
          <w:tcPr>
            <w:tcW w:w="2551"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20113</w:t>
            </w:r>
          </w:p>
        </w:tc>
        <w:tc>
          <w:tcPr>
            <w:tcW w:w="4535" w:type="dxa"/>
            <w:vAlign w:val="center"/>
          </w:tcPr>
          <w:p>
            <w:pPr>
              <w:pStyle w:val="13"/>
            </w:pPr>
            <w:r>
              <w:t>商贸事务</w:t>
            </w:r>
          </w:p>
        </w:tc>
        <w:tc>
          <w:tcPr>
            <w:tcW w:w="2551" w:type="dxa"/>
            <w:vAlign w:val="center"/>
          </w:tcPr>
          <w:p>
            <w:pPr>
              <w:pStyle w:val="12"/>
            </w:pPr>
            <w:r>
              <w:t>131.48</w:t>
            </w:r>
          </w:p>
        </w:tc>
        <w:tc>
          <w:tcPr>
            <w:tcW w:w="2551" w:type="dxa"/>
            <w:vAlign w:val="center"/>
          </w:tcPr>
          <w:p>
            <w:pPr>
              <w:pStyle w:val="12"/>
            </w:pPr>
            <w:r>
              <w:t>81.48</w:t>
            </w:r>
          </w:p>
        </w:tc>
        <w:tc>
          <w:tcPr>
            <w:tcW w:w="2551"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2011308</w:t>
            </w:r>
          </w:p>
        </w:tc>
        <w:tc>
          <w:tcPr>
            <w:tcW w:w="4535" w:type="dxa"/>
            <w:vAlign w:val="center"/>
          </w:tcPr>
          <w:p>
            <w:pPr>
              <w:pStyle w:val="13"/>
            </w:pPr>
            <w:r>
              <w:t>招商引资</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2011350</w:t>
            </w:r>
          </w:p>
        </w:tc>
        <w:tc>
          <w:tcPr>
            <w:tcW w:w="4535" w:type="dxa"/>
            <w:vAlign w:val="center"/>
          </w:tcPr>
          <w:p>
            <w:pPr>
              <w:pStyle w:val="13"/>
            </w:pPr>
            <w:r>
              <w:t>事业运行</w:t>
            </w:r>
          </w:p>
        </w:tc>
        <w:tc>
          <w:tcPr>
            <w:tcW w:w="2551" w:type="dxa"/>
            <w:vAlign w:val="center"/>
          </w:tcPr>
          <w:p>
            <w:pPr>
              <w:pStyle w:val="12"/>
            </w:pPr>
            <w:r>
              <w:t>81.48</w:t>
            </w:r>
          </w:p>
        </w:tc>
        <w:tc>
          <w:tcPr>
            <w:tcW w:w="2551" w:type="dxa"/>
            <w:vAlign w:val="center"/>
          </w:tcPr>
          <w:p>
            <w:pPr>
              <w:pStyle w:val="12"/>
            </w:pPr>
            <w:r>
              <w:t>81.48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9.43</w:t>
            </w:r>
          </w:p>
        </w:tc>
        <w:tc>
          <w:tcPr>
            <w:tcW w:w="2551" w:type="dxa"/>
            <w:vAlign w:val="center"/>
          </w:tcPr>
          <w:p>
            <w:pPr>
              <w:pStyle w:val="12"/>
            </w:pPr>
            <w:r>
              <w:t>9.43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9.43</w:t>
            </w:r>
          </w:p>
        </w:tc>
        <w:tc>
          <w:tcPr>
            <w:tcW w:w="2551" w:type="dxa"/>
            <w:vAlign w:val="center"/>
          </w:tcPr>
          <w:p>
            <w:pPr>
              <w:pStyle w:val="12"/>
            </w:pPr>
            <w:r>
              <w:t>9.43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9.43</w:t>
            </w:r>
          </w:p>
        </w:tc>
        <w:tc>
          <w:tcPr>
            <w:tcW w:w="2551" w:type="dxa"/>
            <w:vAlign w:val="center"/>
          </w:tcPr>
          <w:p>
            <w:pPr>
              <w:pStyle w:val="12"/>
            </w:pPr>
            <w:r>
              <w:t>9.43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5.70</w:t>
            </w:r>
          </w:p>
        </w:tc>
        <w:tc>
          <w:tcPr>
            <w:tcW w:w="2551" w:type="dxa"/>
            <w:vAlign w:val="center"/>
          </w:tcPr>
          <w:p>
            <w:pPr>
              <w:pStyle w:val="12"/>
            </w:pPr>
            <w:r>
              <w:t>5.70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5.70</w:t>
            </w:r>
          </w:p>
        </w:tc>
        <w:tc>
          <w:tcPr>
            <w:tcW w:w="2551" w:type="dxa"/>
            <w:vAlign w:val="center"/>
          </w:tcPr>
          <w:p>
            <w:pPr>
              <w:pStyle w:val="12"/>
            </w:pPr>
            <w:r>
              <w:t>5.70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5.70</w:t>
            </w:r>
          </w:p>
        </w:tc>
        <w:tc>
          <w:tcPr>
            <w:tcW w:w="2551" w:type="dxa"/>
            <w:vAlign w:val="center"/>
          </w:tcPr>
          <w:p>
            <w:pPr>
              <w:pStyle w:val="12"/>
            </w:pPr>
            <w:r>
              <w:t>5.70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5.02</w:t>
            </w:r>
          </w:p>
        </w:tc>
        <w:tc>
          <w:tcPr>
            <w:tcW w:w="2551" w:type="dxa"/>
            <w:vAlign w:val="center"/>
          </w:tcPr>
          <w:p>
            <w:pPr>
              <w:pStyle w:val="12"/>
            </w:pPr>
            <w:r>
              <w:t>5.02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5.02</w:t>
            </w:r>
          </w:p>
        </w:tc>
        <w:tc>
          <w:tcPr>
            <w:tcW w:w="2551" w:type="dxa"/>
            <w:vAlign w:val="center"/>
          </w:tcPr>
          <w:p>
            <w:pPr>
              <w:pStyle w:val="12"/>
            </w:pPr>
            <w:r>
              <w:t>5.02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5.02</w:t>
            </w:r>
          </w:p>
        </w:tc>
        <w:tc>
          <w:tcPr>
            <w:tcW w:w="2551" w:type="dxa"/>
            <w:vAlign w:val="center"/>
          </w:tcPr>
          <w:p>
            <w:pPr>
              <w:pStyle w:val="12"/>
            </w:pPr>
            <w:r>
              <w:t>5.02</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321昌黎县招商中心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101.63</w:t>
            </w:r>
          </w:p>
        </w:tc>
        <w:tc>
          <w:tcPr>
            <w:tcW w:w="2551" w:type="dxa"/>
            <w:vAlign w:val="center"/>
          </w:tcPr>
          <w:p>
            <w:pPr>
              <w:pStyle w:val="16"/>
            </w:pPr>
            <w:r>
              <w:t>97.58</w:t>
            </w:r>
          </w:p>
        </w:tc>
        <w:tc>
          <w:tcPr>
            <w:tcW w:w="2551" w:type="dxa"/>
            <w:vAlign w:val="center"/>
          </w:tcPr>
          <w:p>
            <w:pPr>
              <w:pStyle w:val="16"/>
            </w:pPr>
            <w:r>
              <w:t>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89.11</w:t>
            </w:r>
          </w:p>
        </w:tc>
        <w:tc>
          <w:tcPr>
            <w:tcW w:w="2551" w:type="dxa"/>
            <w:vAlign w:val="center"/>
          </w:tcPr>
          <w:p>
            <w:pPr>
              <w:pStyle w:val="12"/>
            </w:pPr>
            <w:r>
              <w:t>89.11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40.02</w:t>
            </w:r>
          </w:p>
        </w:tc>
        <w:tc>
          <w:tcPr>
            <w:tcW w:w="2551" w:type="dxa"/>
            <w:vAlign w:val="center"/>
          </w:tcPr>
          <w:p>
            <w:pPr>
              <w:pStyle w:val="12"/>
            </w:pPr>
            <w:r>
              <w:t>40.02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5.00</w:t>
            </w:r>
          </w:p>
        </w:tc>
        <w:tc>
          <w:tcPr>
            <w:tcW w:w="2551" w:type="dxa"/>
            <w:vAlign w:val="center"/>
          </w:tcPr>
          <w:p>
            <w:pPr>
              <w:pStyle w:val="12"/>
            </w:pPr>
            <w:r>
              <w:t>5.00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22.31</w:t>
            </w:r>
          </w:p>
        </w:tc>
        <w:tc>
          <w:tcPr>
            <w:tcW w:w="2551" w:type="dxa"/>
            <w:vAlign w:val="center"/>
          </w:tcPr>
          <w:p>
            <w:pPr>
              <w:pStyle w:val="12"/>
            </w:pPr>
            <w:r>
              <w:t>22.31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9.43</w:t>
            </w:r>
          </w:p>
        </w:tc>
        <w:tc>
          <w:tcPr>
            <w:tcW w:w="2551" w:type="dxa"/>
            <w:vAlign w:val="center"/>
          </w:tcPr>
          <w:p>
            <w:pPr>
              <w:pStyle w:val="12"/>
            </w:pPr>
            <w:r>
              <w:t>9.43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5.70</w:t>
            </w:r>
          </w:p>
        </w:tc>
        <w:tc>
          <w:tcPr>
            <w:tcW w:w="2551" w:type="dxa"/>
            <w:vAlign w:val="center"/>
          </w:tcPr>
          <w:p>
            <w:pPr>
              <w:pStyle w:val="12"/>
            </w:pPr>
            <w:r>
              <w:t>5.70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1.63</w:t>
            </w:r>
          </w:p>
        </w:tc>
        <w:tc>
          <w:tcPr>
            <w:tcW w:w="2551" w:type="dxa"/>
            <w:vAlign w:val="center"/>
          </w:tcPr>
          <w:p>
            <w:pPr>
              <w:pStyle w:val="12"/>
            </w:pPr>
            <w:r>
              <w:t>1.63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5.02</w:t>
            </w:r>
          </w:p>
        </w:tc>
        <w:tc>
          <w:tcPr>
            <w:tcW w:w="2551" w:type="dxa"/>
            <w:vAlign w:val="center"/>
          </w:tcPr>
          <w:p>
            <w:pPr>
              <w:pStyle w:val="12"/>
            </w:pPr>
            <w:r>
              <w:t>5.02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4.04</w:t>
            </w:r>
          </w:p>
        </w:tc>
        <w:tc>
          <w:tcPr>
            <w:tcW w:w="2551" w:type="dxa"/>
            <w:vAlign w:val="center"/>
          </w:tcPr>
          <w:p>
            <w:pPr>
              <w:pStyle w:val="12"/>
            </w:pPr>
          </w:p>
        </w:tc>
        <w:tc>
          <w:tcPr>
            <w:tcW w:w="2551" w:type="dxa"/>
            <w:vAlign w:val="center"/>
          </w:tcPr>
          <w:p>
            <w:pPr>
              <w:pStyle w:val="12"/>
            </w:pPr>
            <w:r>
              <w:t>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1.35</w:t>
            </w:r>
          </w:p>
        </w:tc>
        <w:tc>
          <w:tcPr>
            <w:tcW w:w="2551" w:type="dxa"/>
            <w:vAlign w:val="center"/>
          </w:tcPr>
          <w:p>
            <w:pPr>
              <w:pStyle w:val="12"/>
            </w:pPr>
          </w:p>
        </w:tc>
        <w:tc>
          <w:tcPr>
            <w:tcW w:w="2551" w:type="dxa"/>
            <w:vAlign w:val="center"/>
          </w:tcPr>
          <w:p>
            <w:pPr>
              <w:pStyle w:val="12"/>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0.81</w:t>
            </w:r>
          </w:p>
        </w:tc>
        <w:tc>
          <w:tcPr>
            <w:tcW w:w="2551" w:type="dxa"/>
            <w:vAlign w:val="center"/>
          </w:tcPr>
          <w:p>
            <w:pPr>
              <w:pStyle w:val="12"/>
            </w:pPr>
          </w:p>
        </w:tc>
        <w:tc>
          <w:tcPr>
            <w:tcW w:w="2551" w:type="dxa"/>
            <w:vAlign w:val="center"/>
          </w:tcPr>
          <w:p>
            <w:pPr>
              <w:pStyle w:val="12"/>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1.80</w:t>
            </w:r>
          </w:p>
        </w:tc>
        <w:tc>
          <w:tcPr>
            <w:tcW w:w="2551" w:type="dxa"/>
            <w:vAlign w:val="center"/>
          </w:tcPr>
          <w:p>
            <w:pPr>
              <w:pStyle w:val="12"/>
            </w:pPr>
          </w:p>
        </w:tc>
        <w:tc>
          <w:tcPr>
            <w:tcW w:w="2551" w:type="dxa"/>
            <w:vAlign w:val="center"/>
          </w:tcPr>
          <w:p>
            <w:pPr>
              <w:pStyle w:val="12"/>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0.08</w:t>
            </w:r>
          </w:p>
        </w:tc>
        <w:tc>
          <w:tcPr>
            <w:tcW w:w="2551" w:type="dxa"/>
            <w:vAlign w:val="center"/>
          </w:tcPr>
          <w:p>
            <w:pPr>
              <w:pStyle w:val="12"/>
            </w:pPr>
          </w:p>
        </w:tc>
        <w:tc>
          <w:tcPr>
            <w:tcW w:w="2551" w:type="dxa"/>
            <w:vAlign w:val="center"/>
          </w:tcPr>
          <w:p>
            <w:pPr>
              <w:pStyle w:val="12"/>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8.48</w:t>
            </w:r>
          </w:p>
        </w:tc>
        <w:tc>
          <w:tcPr>
            <w:tcW w:w="2551" w:type="dxa"/>
            <w:vAlign w:val="center"/>
          </w:tcPr>
          <w:p>
            <w:pPr>
              <w:pStyle w:val="12"/>
            </w:pPr>
            <w:r>
              <w:t>8.48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7.52</w:t>
            </w:r>
          </w:p>
        </w:tc>
        <w:tc>
          <w:tcPr>
            <w:tcW w:w="2551" w:type="dxa"/>
            <w:vAlign w:val="center"/>
          </w:tcPr>
          <w:p>
            <w:pPr>
              <w:pStyle w:val="12"/>
            </w:pPr>
            <w:r>
              <w:t>7.52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0.94</w:t>
            </w:r>
          </w:p>
        </w:tc>
        <w:tc>
          <w:tcPr>
            <w:tcW w:w="2551" w:type="dxa"/>
            <w:vAlign w:val="center"/>
          </w:tcPr>
          <w:p>
            <w:pPr>
              <w:pStyle w:val="12"/>
            </w:pPr>
            <w:r>
              <w:t>0.94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0.02</w:t>
            </w:r>
          </w:p>
        </w:tc>
        <w:tc>
          <w:tcPr>
            <w:tcW w:w="2551" w:type="dxa"/>
            <w:vAlign w:val="center"/>
          </w:tcPr>
          <w:p>
            <w:pPr>
              <w:pStyle w:val="12"/>
            </w:pPr>
            <w:r>
              <w:t>0.02</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321昌黎县招商中心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2467" w:firstLineChars="1175"/>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321昌黎县招商中心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2467" w:firstLineChars="1175"/>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321昌黎县招商中心</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14.80</w:t>
            </w:r>
          </w:p>
        </w:tc>
        <w:tc>
          <w:tcPr>
            <w:tcW w:w="2381" w:type="dxa"/>
            <w:vAlign w:val="center"/>
          </w:tcPr>
          <w:p>
            <w:pPr>
              <w:pStyle w:val="16"/>
            </w:pPr>
            <w:r>
              <w:t>14.80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14.80</w:t>
            </w:r>
          </w:p>
        </w:tc>
        <w:tc>
          <w:tcPr>
            <w:tcW w:w="2381" w:type="dxa"/>
            <w:vAlign w:val="center"/>
          </w:tcPr>
          <w:p>
            <w:pPr>
              <w:pStyle w:val="12"/>
            </w:pPr>
            <w:r>
              <w:t>14.80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r>
              <w:t>3.00</w:t>
            </w:r>
          </w:p>
        </w:tc>
        <w:tc>
          <w:tcPr>
            <w:tcW w:w="2381" w:type="dxa"/>
            <w:vAlign w:val="center"/>
          </w:tcPr>
          <w:p>
            <w:pPr>
              <w:pStyle w:val="12"/>
            </w:pPr>
            <w:r>
              <w:t>3.00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r>
              <w:t>3.00</w:t>
            </w:r>
          </w:p>
        </w:tc>
        <w:tc>
          <w:tcPr>
            <w:tcW w:w="2381" w:type="dxa"/>
            <w:vAlign w:val="center"/>
          </w:tcPr>
          <w:p>
            <w:pPr>
              <w:pStyle w:val="12"/>
            </w:pPr>
            <w:r>
              <w:t>3.00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1.80</w:t>
            </w:r>
          </w:p>
        </w:tc>
        <w:tc>
          <w:tcPr>
            <w:tcW w:w="2381" w:type="dxa"/>
            <w:vAlign w:val="center"/>
          </w:tcPr>
          <w:p>
            <w:pPr>
              <w:pStyle w:val="12"/>
            </w:pPr>
            <w:r>
              <w:t>1.80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1.80</w:t>
            </w:r>
          </w:p>
        </w:tc>
        <w:tc>
          <w:tcPr>
            <w:tcW w:w="2381" w:type="dxa"/>
            <w:vAlign w:val="center"/>
          </w:tcPr>
          <w:p>
            <w:pPr>
              <w:pStyle w:val="12"/>
            </w:pPr>
            <w:r>
              <w:t>1.80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10.00</w:t>
            </w:r>
          </w:p>
        </w:tc>
        <w:tc>
          <w:tcPr>
            <w:tcW w:w="2381" w:type="dxa"/>
            <w:vAlign w:val="center"/>
          </w:tcPr>
          <w:p>
            <w:pPr>
              <w:pStyle w:val="12"/>
            </w:pPr>
            <w:r>
              <w:t>10.00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昌黎县招商中心2024年部门预算信息公开情况说明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昌黎县招商中心2024年部门预算信息公开情况说明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按照《中华人民共和国预算法》、《地方预决算公开操作规程》和《关于进一步推进预算公开工作的实施意见》规定，现将昌黎县招商中心2024年部门预算公开如下：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26"/>
      </w:pPr>
      <w:r>
        <w:t>根据《昌黎县招商中心职能配置、内设机构和人员编制规定》，昌黎县招商中心的主要职责是：</w:t>
      </w:r>
    </w:p>
    <w:p>
      <w:pPr>
        <w:pStyle w:val="26"/>
      </w:pPr>
      <w:r>
        <w:t>（一）贯彻执行国家和省、市、县对外开放、对外经济技术合作的方针政策；制定全县对外招商引资的政策措施，并组织实施。</w:t>
      </w:r>
    </w:p>
    <w:p>
      <w:pPr>
        <w:pStyle w:val="26"/>
      </w:pPr>
      <w:r>
        <w:t>（二）对全县招商引资工作进行宏观指导；负责编制全县招商引资的总体规划、年度计划和外来投资导向目录。</w:t>
      </w:r>
    </w:p>
    <w:p>
      <w:pPr>
        <w:pStyle w:val="26"/>
      </w:pPr>
      <w:r>
        <w:t>（三）组织参与国家、省、市及有关部门的国内外招商引资活动，负责本县在境内外举办的招商引资活动。</w:t>
      </w:r>
    </w:p>
    <w:p>
      <w:pPr>
        <w:pStyle w:val="26"/>
      </w:pPr>
      <w:r>
        <w:t>（四）负责牵头组织全县性各类招商活动，指导、协调全县有关部门和各园区、各乡镇的招商引资工作；负责建立和完善全县招商网络，建立信息网络与联系渠道。</w:t>
      </w:r>
    </w:p>
    <w:p>
      <w:pPr>
        <w:pStyle w:val="26"/>
      </w:pPr>
      <w:r>
        <w:t>（五）负责项目引进前期性、基础性、事务性工作，为国内外投资者提供环境考察、信息咨询、政策咨询等工作；会同有关部门做好外商投资企业的洽谈、签约、项目实施及协调、管理、服务工作。</w:t>
      </w:r>
    </w:p>
    <w:p>
      <w:pPr>
        <w:pStyle w:val="26"/>
      </w:pPr>
      <w:r>
        <w:t>（六）承办县政府交办的其他事项。</w:t>
      </w:r>
    </w:p>
    <w:p>
      <w:pPr>
        <w:spacing w:before="0" w:after="0" w:line="240" w:lineRule="auto"/>
        <w:ind w:firstLine="640"/>
        <w:jc w:val="left"/>
        <w:outlineLvl w:val="9"/>
        <w:rPr>
          <w:rFonts w:ascii="方正楷体_GBK" w:hAnsi="方正楷体_GBK" w:eastAsia="方正楷体_GBK" w:cs="方正楷体_GBK"/>
          <w:b/>
          <w:color w:val="000000"/>
          <w:sz w:val="32"/>
        </w:rPr>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jc w:val="center"/>
            </w:pPr>
            <w:r>
              <w:t>昌黎县招商中心</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按照预算管理有关规定，目前部门预算的编制实行综合预算管理，即全部收入和支出都反映在预算中。昌黎县招商中心机关及所属事业单位的收支包含在部门预算中。</w:t>
      </w:r>
    </w:p>
    <w:p>
      <w:pPr>
        <w:pStyle w:val="19"/>
      </w:pPr>
      <w:r>
        <w:t>1、收入说明</w:t>
      </w:r>
    </w:p>
    <w:p>
      <w:pPr>
        <w:pStyle w:val="19"/>
      </w:pPr>
      <w:r>
        <w:t>反映本部门当年全部收入。2024年预算收入151.628269万元，其中：一般公共预算收入151.628269万元，基金预算收入0万元，国有资本经营预算收入0万元，财政专户核拨收入0万元，单位资金收入0万元，上年结转结余0万元。</w:t>
      </w:r>
    </w:p>
    <w:p>
      <w:pPr>
        <w:pStyle w:val="19"/>
      </w:pPr>
      <w:r>
        <w:t>2、支出说明</w:t>
      </w:r>
    </w:p>
    <w:p>
      <w:pPr>
        <w:pStyle w:val="19"/>
      </w:pPr>
      <w:r>
        <w:t>收支预算总表支出栏、基本支出表、项目支出表按经济分类和支出功能分类科目编制，反映昌黎县招商中心年度部门预算中支出预算的总体情况。2024年支出预算151.628269万元，其中基本支出101.628269万元，包括人员经费97.584269万元和日常公用经费4.044万元；项目支出50万元，主要为招商引资工作经费项目50万元。</w:t>
      </w:r>
    </w:p>
    <w:p>
      <w:pPr>
        <w:pStyle w:val="19"/>
      </w:pPr>
      <w:r>
        <w:t>3、比上年增减情况</w:t>
      </w:r>
    </w:p>
    <w:p>
      <w:pPr>
        <w:pStyle w:val="19"/>
      </w:pPr>
      <w:r>
        <w:t>2024年预算收支安排151.628269万元，较2023年预算增加17.232679万元，其中：基本支出增加17.232679万元，主要为2023年新增工作人员3人，增加的人员经费支出。项目支出增加0万元，与上年度持平，主要包括招商宣传资料的印制，日常重要客商的接待，外出小团组招商，参加重大招商节会，举办招商推介会等方面的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2024年，我部门机关运行经费共计安排4.04万元，主要用于日常</w:t>
      </w:r>
      <w:r>
        <w:rPr>
          <w:rFonts w:hint="eastAsia" w:ascii="Times New Roman" w:hAnsi="Times New Roman" w:eastAsia="方正仿宋_GBK" w:cs="Times New Roman"/>
          <w:sz w:val="28"/>
          <w:szCs w:val="24"/>
          <w:lang w:val="en-US" w:eastAsia="zh-CN" w:bidi="ar-SA"/>
        </w:rPr>
        <w:t>办公</w:t>
      </w:r>
      <w:r>
        <w:rPr>
          <w:rFonts w:ascii="Times New Roman" w:hAnsi="Times New Roman" w:eastAsia="方正仿宋_GBK" w:cs="Times New Roman"/>
          <w:sz w:val="28"/>
          <w:szCs w:val="24"/>
          <w:lang w:val="en-US" w:eastAsia="uk-UA" w:bidi="ar-SA"/>
        </w:rPr>
        <w:t>、办公用房水电费、办公用房取暖费、</w:t>
      </w:r>
      <w:r>
        <w:rPr>
          <w:rFonts w:hint="eastAsia" w:ascii="Times New Roman" w:hAnsi="Times New Roman" w:eastAsia="方正仿宋_GBK" w:cs="Times New Roman"/>
          <w:sz w:val="28"/>
          <w:szCs w:val="24"/>
          <w:lang w:val="en-US" w:eastAsia="zh-CN" w:bidi="ar-SA"/>
        </w:rPr>
        <w:t>公务用车运行维护费</w:t>
      </w:r>
      <w:r>
        <w:rPr>
          <w:rFonts w:ascii="Times New Roman" w:hAnsi="Times New Roman" w:eastAsia="方正仿宋_GBK" w:cs="Times New Roman"/>
          <w:sz w:val="28"/>
          <w:szCs w:val="24"/>
          <w:lang w:val="en-US" w:eastAsia="uk-UA" w:bidi="ar-SA"/>
        </w:rPr>
        <w:t>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14.8万元，其中因公出国（境）费3万元；公务用车购置及运维费1.8万元（其中：公务用车购置费为0万元，公务用车运维费1.8万元)；公务接待费10万元。与2023年相比减少2万元，减少的主要原因是本着节简高效开展招商工作，所以减少了公务接待费用。</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全面贯彻落实党的二十大精神，深入贯彻中央、省市县委经济工作会议精神，以县委、县政府开展的“招商引资突破年”、“营商环境优化年”、“项目建设攻坚年”活动为主线，锚定“1234”发展目标和“1134”发展思路，全面开展招商引资工作。夯实招商基础,完善“三库”（客商信息库、项目信息库、企业信息库）建设和打造招商引资“五个一”立体化宣传媒介，扩大昌黎的知名度；做好客商的接待服务、项目的接洽、在谈招商项目推进工作，促使客商来昌投资置业；组织参加国内外大型节会，举办自办的招商活动，突出引进战略投资者；牵头组织各种小团组招商活动等各项招商引资工作，促进我县经济社会健康、快速、可持续发展，力争2024年引进上亿签约项目(包括框架协议）10个。</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rPr>
          <w:rFonts w:hint="eastAsia"/>
          <w:lang w:val="en-US" w:eastAsia="zh-CN"/>
        </w:rPr>
        <w:t>1、</w:t>
      </w:r>
      <w:r>
        <w:t>保障部门日常工作正常运转</w:t>
      </w:r>
    </w:p>
    <w:p>
      <w:pPr>
        <w:pStyle w:val="23"/>
      </w:pPr>
      <w:r>
        <w:t>绩效目标：保证人员经费按时发放、及时缴纳工会经费、其他各项费用及时支付，确保单位正常运转</w:t>
      </w:r>
    </w:p>
    <w:p>
      <w:pPr>
        <w:pStyle w:val="23"/>
      </w:pPr>
      <w:r>
        <w:t>绩效指标：人员经费发放及时率大于等于98%，公务用车及人员办公经费、耗材等支出小于等于年初预算。</w:t>
      </w:r>
    </w:p>
    <w:p>
      <w:pPr>
        <w:pStyle w:val="23"/>
      </w:pPr>
      <w:r>
        <w:rPr>
          <w:rFonts w:hint="eastAsia"/>
          <w:lang w:val="en-US" w:eastAsia="zh-CN"/>
        </w:rPr>
        <w:t>2、</w:t>
      </w:r>
      <w:r>
        <w:t>招商基础工作进一步提升</w:t>
      </w:r>
    </w:p>
    <w:p>
      <w:pPr>
        <w:pStyle w:val="23"/>
      </w:pPr>
      <w:r>
        <w:t>绩效目标：完善招商基础工作，打造“五个一”立体化推介载体,宣传推介昌黎，提高昌黎知名度</w:t>
      </w:r>
    </w:p>
    <w:p>
      <w:pPr>
        <w:pStyle w:val="23"/>
      </w:pPr>
      <w:r>
        <w:t>绩效指标：进行招商宣传大于等于80次，新增储备项目数量大于等于20个，实现招商能力新突破。</w:t>
      </w:r>
    </w:p>
    <w:p>
      <w:pPr>
        <w:pStyle w:val="23"/>
      </w:pPr>
      <w:r>
        <w:rPr>
          <w:rFonts w:hint="eastAsia"/>
          <w:lang w:val="en-US" w:eastAsia="zh-CN"/>
        </w:rPr>
        <w:t>3、</w:t>
      </w:r>
      <w:r>
        <w:t>招商引资工作提速提效</w:t>
      </w:r>
    </w:p>
    <w:p>
      <w:pPr>
        <w:pStyle w:val="23"/>
      </w:pPr>
      <w:r>
        <w:t>绩效目标1：持续推进在谈项目，进一步做好招商服务工作，引进战略投资者</w:t>
      </w:r>
    </w:p>
    <w:p>
      <w:pPr>
        <w:pStyle w:val="23"/>
      </w:pPr>
      <w:r>
        <w:t>绩效指标1：通过客商的接待、项目的接洽等工作，重大在谈项目取得实质性进展，在谈项目提升率大于等于5%，促进县域经济持续向好发展。</w:t>
      </w:r>
    </w:p>
    <w:p>
      <w:pPr>
        <w:pStyle w:val="23"/>
      </w:pPr>
      <w:r>
        <w:t>绩效目标2：组织各类招商活动，开展多元化招商方式，引进高新技术、先进制造业等项目，实现招商方式新突破、高质量招商新突破</w:t>
      </w:r>
    </w:p>
    <w:p>
      <w:pPr>
        <w:pStyle w:val="23"/>
      </w:pPr>
      <w:r>
        <w:t>绩效指标2：通过开展招商推介会、参加国内外大型招商节会，外出小团组招商等各项招商活动，进行精准招商，实现招商实效新突破，力争引进上亿签约项目（包括框架协议）10个。</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rPr>
          <w:rFonts w:hint="eastAsia"/>
          <w:lang w:val="en-US" w:eastAsia="zh-CN"/>
        </w:rPr>
        <w:t>1、</w:t>
      </w:r>
      <w:r>
        <w:t>坚持厉行节约。坚持厉行节约，反对铺张浪费，科学规范分配财政资金，提高财政资金使用效益，建设节约型机关。</w:t>
      </w:r>
    </w:p>
    <w:p>
      <w:pPr>
        <w:pStyle w:val="24"/>
      </w:pPr>
      <w:r>
        <w:rPr>
          <w:rFonts w:hint="eastAsia"/>
          <w:lang w:val="en-US" w:eastAsia="zh-CN"/>
        </w:rPr>
        <w:t>2、</w:t>
      </w:r>
      <w:r>
        <w:t>切实做好招商引资工作。一是结合73个昌黎县2023年重大在谈项目，开展紧密对接推进，力争在2024年取得实质性进展；二是夯实招商基础。精心打造“五个一”立体化宣传媒介，加强招商人员的培训，做好招商平台的建设；三是组织参加好大型节会，举办好自办的招商活动，深入开展招商引资工作；四是开展亲情招商，探索资本招商。</w:t>
      </w:r>
    </w:p>
    <w:p>
      <w:pPr>
        <w:pStyle w:val="24"/>
      </w:pPr>
      <w:r>
        <w:rPr>
          <w:rFonts w:hint="eastAsia"/>
          <w:lang w:val="en-US" w:eastAsia="zh-CN"/>
        </w:rPr>
        <w:t>3、</w:t>
      </w:r>
      <w:r>
        <w:t>措施保障。为应对可能存在的问题和环境变化等趋势，采取措施预做准备，控制偏差，保证绩效目标实现，制定以下保障措施：</w:t>
      </w:r>
    </w:p>
    <w:p>
      <w:pPr>
        <w:pStyle w:val="24"/>
      </w:pPr>
      <w:r>
        <w:rPr>
          <w:rFonts w:hint="eastAsia"/>
          <w:lang w:eastAsia="zh-CN"/>
        </w:rPr>
        <w:t>（</w:t>
      </w:r>
      <w:r>
        <w:t>1</w:t>
      </w:r>
      <w:r>
        <w:rPr>
          <w:rFonts w:hint="eastAsia"/>
          <w:lang w:eastAsia="zh-CN"/>
        </w:rPr>
        <w:t>）</w:t>
      </w:r>
      <w:r>
        <w:t>完善制度建设。制定完善的预算绩效管理制度，资金管理办法、工作保障制度等内控管理办法，为全年预算绩效目标的实现奠定制度基础。</w:t>
      </w:r>
    </w:p>
    <w:p>
      <w:pPr>
        <w:pStyle w:val="24"/>
      </w:pPr>
      <w:r>
        <w:rPr>
          <w:rFonts w:hint="eastAsia"/>
          <w:lang w:eastAsia="zh-CN"/>
        </w:rPr>
        <w:t>（</w:t>
      </w:r>
      <w:r>
        <w:t>2</w:t>
      </w:r>
      <w:r>
        <w:rPr>
          <w:rFonts w:hint="eastAsia"/>
          <w:lang w:eastAsia="zh-CN"/>
        </w:rPr>
        <w:t>）</w:t>
      </w:r>
      <w:r>
        <w:t>加强支出管理。通过优化支出结构、编细编实预算，及时支付资金，6月底前细化编制预算，按规定及时下达资金等多种措施，确保支出进度达标。</w:t>
      </w:r>
    </w:p>
    <w:p>
      <w:pPr>
        <w:pStyle w:val="24"/>
      </w:pPr>
      <w:r>
        <w:rPr>
          <w:rFonts w:hint="eastAsia"/>
          <w:lang w:eastAsia="zh-CN"/>
        </w:rPr>
        <w:t>（</w:t>
      </w:r>
      <w:r>
        <w:t>3</w:t>
      </w:r>
      <w:r>
        <w:rPr>
          <w:rFonts w:hint="eastAsia"/>
          <w:lang w:eastAsia="zh-CN"/>
        </w:rPr>
        <w:t>）</w:t>
      </w:r>
      <w:r>
        <w:t>加强绩效运行监控。按要求开展绩效运行监控，发现问题及时采取措施，确保绩效目标如期保质实现。</w:t>
      </w:r>
    </w:p>
    <w:p>
      <w:pPr>
        <w:pStyle w:val="24"/>
      </w:pPr>
      <w:r>
        <w:rPr>
          <w:rFonts w:hint="eastAsia"/>
          <w:lang w:eastAsia="zh-CN"/>
        </w:rPr>
        <w:t>（</w:t>
      </w:r>
      <w:r>
        <w:t>4</w:t>
      </w:r>
      <w:r>
        <w:rPr>
          <w:rFonts w:hint="eastAsia"/>
          <w:lang w:eastAsia="zh-CN"/>
        </w:rPr>
        <w:t>）</w:t>
      </w:r>
      <w:r>
        <w:t>做好绩效自评。按要求开展上年度部门预算绩效自评和重点评价工作，对评价中发现的问题及时整改，调整优化支出结构，提高财政资金使用效益。</w:t>
      </w:r>
    </w:p>
    <w:p>
      <w:pPr>
        <w:pStyle w:val="24"/>
      </w:pPr>
      <w:r>
        <w:rPr>
          <w:rFonts w:hint="eastAsia"/>
          <w:lang w:eastAsia="zh-CN"/>
        </w:rPr>
        <w:t>（</w:t>
      </w:r>
      <w:r>
        <w:t>5</w:t>
      </w:r>
      <w:r>
        <w:rPr>
          <w:rFonts w:hint="eastAsia"/>
          <w:lang w:eastAsia="zh-CN"/>
        </w:rPr>
        <w:t>）</w:t>
      </w:r>
      <w:r>
        <w:t>规范财务资产管理。完善财务管理制度，严格审批程序，加强国有资产登记、使用和报废处置管理，做到支出合理，物尽其用。</w:t>
      </w:r>
    </w:p>
    <w:p>
      <w:pPr>
        <w:pStyle w:val="24"/>
      </w:pPr>
      <w:r>
        <w:rPr>
          <w:rFonts w:hint="eastAsia"/>
          <w:lang w:eastAsia="zh-CN"/>
        </w:rPr>
        <w:t>（</w:t>
      </w:r>
      <w:r>
        <w:t>6</w:t>
      </w:r>
      <w:r>
        <w:rPr>
          <w:rFonts w:hint="eastAsia"/>
          <w:lang w:eastAsia="zh-CN"/>
        </w:rPr>
        <w:t>）</w:t>
      </w:r>
      <w:r>
        <w:t>加强内部监督。加强内部监督制度建设，对绩效运行情况，重大支出决策、资产处置及其他重要经济业务事项决策和执行进行督导，对会计资料进行内部审计，并配合做好审计、财务监督等外部监督工作，确保财政资金安全有效。</w:t>
      </w:r>
    </w:p>
    <w:p>
      <w:pPr>
        <w:pStyle w:val="24"/>
      </w:pPr>
      <w:r>
        <w:rPr>
          <w:rFonts w:hint="eastAsia"/>
          <w:lang w:eastAsia="zh-CN"/>
        </w:rPr>
        <w:t>（</w:t>
      </w:r>
      <w:r>
        <w:t>7</w:t>
      </w:r>
      <w:r>
        <w:rPr>
          <w:rFonts w:hint="eastAsia"/>
          <w:lang w:eastAsia="zh-CN"/>
        </w:rPr>
        <w:t>）</w:t>
      </w:r>
      <w:r>
        <w:t>加强宣传培训调研。加强人员培训，提高本部门职工业务素质；加强调研，提出优化财政资金配置、提高资金使用效益的意见建议；加大宣传力度，强化预算绩效管理意识，促进预算绩效管理水平进一步提升。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1、招商引资工作经费绩效目标表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13032224P00LP00100047</w:t>
            </w:r>
          </w:p>
        </w:tc>
        <w:tc>
          <w:tcPr>
            <w:tcW w:w="2835" w:type="dxa"/>
            <w:vAlign w:val="center"/>
          </w:tcPr>
          <w:p>
            <w:pPr>
              <w:pStyle w:val="11"/>
            </w:pPr>
            <w:r>
              <w:t>项目名称</w:t>
            </w:r>
          </w:p>
        </w:tc>
        <w:tc>
          <w:tcPr>
            <w:tcW w:w="6094" w:type="dxa"/>
            <w:gridSpan w:val="3"/>
            <w:vAlign w:val="center"/>
          </w:tcPr>
          <w:p>
            <w:pPr>
              <w:pStyle w:val="13"/>
            </w:pPr>
            <w:r>
              <w:t>招商引资工作经费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用于日常接待、项目接洽，招商新媒体平台建设，参加重大招商节会，外出小团组招商及举办招商推介会等各项招商活动费用。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w:t>
            </w:r>
          </w:p>
        </w:tc>
        <w:tc>
          <w:tcPr>
            <w:tcW w:w="2835" w:type="dxa"/>
            <w:vAlign w:val="center"/>
          </w:tcPr>
          <w:p>
            <w:pPr>
              <w:pStyle w:val="14"/>
            </w:pPr>
            <w:r>
              <w:t>70%</w:t>
            </w:r>
          </w:p>
        </w:tc>
        <w:tc>
          <w:tcPr>
            <w:tcW w:w="2551" w:type="dxa"/>
            <w:vAlign w:val="center"/>
          </w:tcPr>
          <w:p>
            <w:pPr>
              <w:pStyle w:val="14"/>
            </w:pPr>
            <w:r>
              <w:t>85%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1.1.做好招商基础工作，实现招商能力新突破。通过完善“三库”建设和打造招商引资“五个一”立体化宣传媒介，达到推介储备项目，进一步提高招商引资工作的精准度。2.通过客商接待、项目对接等活动，不仅达到宣传推介昌黎的效果，还促使项目落地、推动和引领全县做好招商引资工作。3.通过开展各种中招商推介会、参加国内外重大招商节会及小团组招商活动，瞄准重点区域、重点客商和招商机构，引进高质量项目，推动县域经济高质量发展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新增储备项目个数</w:t>
            </w:r>
          </w:p>
        </w:tc>
        <w:tc>
          <w:tcPr>
            <w:tcW w:w="5386" w:type="dxa"/>
            <w:vAlign w:val="center"/>
          </w:tcPr>
          <w:p>
            <w:pPr>
              <w:pStyle w:val="13"/>
            </w:pPr>
            <w:r>
              <w:t>包装谋划洽谈新增储备项目数量</w:t>
            </w:r>
          </w:p>
        </w:tc>
        <w:tc>
          <w:tcPr>
            <w:tcW w:w="2268" w:type="dxa"/>
            <w:vAlign w:val="center"/>
          </w:tcPr>
          <w:p>
            <w:pPr>
              <w:pStyle w:val="13"/>
            </w:pPr>
            <w:r>
              <w:t>≥20个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在谈项目提升率</w:t>
            </w:r>
          </w:p>
        </w:tc>
        <w:tc>
          <w:tcPr>
            <w:tcW w:w="5386" w:type="dxa"/>
            <w:vAlign w:val="center"/>
          </w:tcPr>
          <w:p>
            <w:pPr>
              <w:pStyle w:val="13"/>
            </w:pPr>
            <w:r>
              <w:t>当年重大在谈项目与上年相比增长比率</w:t>
            </w:r>
          </w:p>
        </w:tc>
        <w:tc>
          <w:tcPr>
            <w:tcW w:w="2268" w:type="dxa"/>
            <w:vAlign w:val="center"/>
          </w:tcPr>
          <w:p>
            <w:pPr>
              <w:pStyle w:val="13"/>
            </w:pPr>
            <w:r>
              <w:t>≥5%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按时完成招商引资工作与计划完成工作的比例</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开展招商活动的平均费用</w:t>
            </w:r>
          </w:p>
        </w:tc>
        <w:tc>
          <w:tcPr>
            <w:tcW w:w="5386" w:type="dxa"/>
            <w:vAlign w:val="center"/>
          </w:tcPr>
          <w:p>
            <w:pPr>
              <w:pStyle w:val="13"/>
            </w:pPr>
            <w:r>
              <w:t>招商引资工作经费与开展小团组招商活动次数的比值</w:t>
            </w:r>
          </w:p>
        </w:tc>
        <w:tc>
          <w:tcPr>
            <w:tcW w:w="2268" w:type="dxa"/>
            <w:vAlign w:val="center"/>
          </w:tcPr>
          <w:p>
            <w:pPr>
              <w:pStyle w:val="13"/>
            </w:pPr>
            <w:r>
              <w:t>≤4万元/次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促进经济高质量发展</w:t>
            </w:r>
          </w:p>
        </w:tc>
        <w:tc>
          <w:tcPr>
            <w:tcW w:w="5386" w:type="dxa"/>
            <w:vAlign w:val="center"/>
          </w:tcPr>
          <w:p>
            <w:pPr>
              <w:pStyle w:val="13"/>
            </w:pPr>
            <w:r>
              <w:t>引进高质量项目，带动本地经济，促进县域经济高质量发展</w:t>
            </w:r>
          </w:p>
        </w:tc>
        <w:tc>
          <w:tcPr>
            <w:tcW w:w="2268" w:type="dxa"/>
            <w:vAlign w:val="center"/>
          </w:tcPr>
          <w:p>
            <w:pPr>
              <w:pStyle w:val="13"/>
            </w:pPr>
            <w:r>
              <w:t>较上年促进</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带动就业，提高人民生活质量</w:t>
            </w:r>
          </w:p>
        </w:tc>
        <w:tc>
          <w:tcPr>
            <w:tcW w:w="5386" w:type="dxa"/>
            <w:vAlign w:val="center"/>
          </w:tcPr>
          <w:p>
            <w:pPr>
              <w:pStyle w:val="13"/>
            </w:pPr>
            <w:r>
              <w:t>项目建设提供更多的就业岗位，提高人民生活水平</w:t>
            </w:r>
          </w:p>
        </w:tc>
        <w:tc>
          <w:tcPr>
            <w:tcW w:w="2268" w:type="dxa"/>
            <w:vAlign w:val="center"/>
          </w:tcPr>
          <w:p>
            <w:pPr>
              <w:pStyle w:val="13"/>
            </w:pPr>
            <w:r>
              <w:t xml:space="preserve">较上年提高 </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降低能耗</w:t>
            </w:r>
          </w:p>
        </w:tc>
        <w:tc>
          <w:tcPr>
            <w:tcW w:w="5386" w:type="dxa"/>
            <w:vAlign w:val="center"/>
          </w:tcPr>
          <w:p>
            <w:pPr>
              <w:pStyle w:val="13"/>
            </w:pPr>
            <w:r>
              <w:t>降低能耗，实现绿色招商</w:t>
            </w:r>
          </w:p>
        </w:tc>
        <w:tc>
          <w:tcPr>
            <w:tcW w:w="2268" w:type="dxa"/>
            <w:vAlign w:val="center"/>
          </w:tcPr>
          <w:p>
            <w:pPr>
              <w:pStyle w:val="13"/>
            </w:pPr>
            <w:r>
              <w:t>较上年降低</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保障招商引资工作的有序运转年限</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洽谈客商满意度</w:t>
            </w:r>
          </w:p>
        </w:tc>
        <w:tc>
          <w:tcPr>
            <w:tcW w:w="5386" w:type="dxa"/>
            <w:vAlign w:val="center"/>
          </w:tcPr>
          <w:p>
            <w:pPr>
              <w:pStyle w:val="13"/>
            </w:pPr>
            <w:r>
              <w:t>满意和较满意的洽谈客商占洽谈客商总数的比例</w:t>
            </w:r>
          </w:p>
        </w:tc>
        <w:tc>
          <w:tcPr>
            <w:tcW w:w="2268" w:type="dxa"/>
            <w:vAlign w:val="center"/>
          </w:tcPr>
          <w:p>
            <w:pPr>
              <w:pStyle w:val="13"/>
            </w:pPr>
            <w:r>
              <w:t>≥95%</w:t>
            </w:r>
          </w:p>
        </w:tc>
        <w:tc>
          <w:tcPr>
            <w:tcW w:w="1276" w:type="dxa"/>
            <w:vAlign w:val="center"/>
          </w:tcPr>
          <w:p>
            <w:pPr>
              <w:pStyle w:val="13"/>
            </w:pPr>
            <w:r>
              <w:t>工作计划</w:t>
            </w:r>
          </w:p>
        </w:tc>
      </w:tr>
    </w:tbl>
    <w:p>
      <w:pPr>
        <w:sectPr>
          <w:type w:val="continuous"/>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line="500" w:lineRule="exact"/>
        <w:ind w:firstLine="560"/>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年，昌黎县招商中心安排政府采购预算0.00万元。具体内容见下表。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321昌黎县招商中心</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昌黎县招商中心（含所属单位）上年末固定资产金额为4.90万元（详见下表）。本年度拟购置固定资产总额为3.66万元，</w:t>
      </w:r>
      <w:r>
        <w:rPr>
          <w:rFonts w:hint="eastAsia" w:ascii="Times New Roman" w:hAnsi="Times New Roman" w:eastAsia="方正仿宋_GBK" w:cs="Times New Roman"/>
          <w:b w:val="0"/>
          <w:color w:val="000000"/>
          <w:sz w:val="28"/>
          <w:lang w:eastAsia="zh-CN"/>
        </w:rPr>
        <w:t>全部为非</w:t>
      </w:r>
      <w:r>
        <w:rPr>
          <w:rFonts w:ascii="Times New Roman" w:hAnsi="Times New Roman" w:eastAsia="方正仿宋_GBK" w:cs="Times New Roman"/>
          <w:b w:val="0"/>
          <w:color w:val="000000"/>
          <w:sz w:val="28"/>
        </w:rPr>
        <w:t>政府采购</w:t>
      </w:r>
      <w:r>
        <w:rPr>
          <w:rFonts w:hint="eastAsia" w:ascii="Times New Roman" w:hAnsi="Times New Roman" w:eastAsia="方正仿宋_GBK" w:cs="Times New Roman"/>
          <w:b w:val="0"/>
          <w:color w:val="000000"/>
          <w:sz w:val="28"/>
          <w:lang w:eastAsia="zh-CN"/>
        </w:rPr>
        <w:t>项目</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321昌黎县招商中心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rPr>
                <w:rFonts w:hint="default" w:eastAsia="方正书宋_GBK"/>
                <w:lang w:val="en-US" w:eastAsia="zh-CN"/>
              </w:rPr>
            </w:pPr>
            <w:r>
              <w:rPr>
                <w:rFonts w:hint="eastAsia"/>
                <w:lang w:val="en-US" w:eastAsia="zh-CN"/>
              </w:rPr>
              <w:t>46</w:t>
            </w:r>
          </w:p>
        </w:tc>
        <w:tc>
          <w:tcPr>
            <w:tcW w:w="2835" w:type="dxa"/>
            <w:vAlign w:val="center"/>
          </w:tcPr>
          <w:p>
            <w:pPr>
              <w:pStyle w:val="12"/>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rPr>
                <w:rFonts w:hint="eastAsia" w:eastAsia="方正书宋_GBK"/>
                <w:lang w:eastAsia="zh-CN"/>
              </w:rPr>
            </w:pPr>
            <w:r>
              <w:t>4</w:t>
            </w:r>
            <w:r>
              <w:rPr>
                <w:rFonts w:hint="eastAsia"/>
                <w:lang w:val="en-US" w:eastAsia="zh-CN"/>
              </w:rPr>
              <w:t>6</w:t>
            </w:r>
          </w:p>
        </w:tc>
        <w:tc>
          <w:tcPr>
            <w:tcW w:w="2835" w:type="dxa"/>
            <w:vAlign w:val="center"/>
          </w:tcPr>
          <w:p>
            <w:pPr>
              <w:pStyle w:val="12"/>
            </w:pPr>
            <w:r>
              <w:t>4.90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4131392"/>
    <w:rsid w:val="051A2AA4"/>
    <w:rsid w:val="0A65623D"/>
    <w:rsid w:val="0CE20357"/>
    <w:rsid w:val="0DE200B4"/>
    <w:rsid w:val="1EC3443C"/>
    <w:rsid w:val="22057C13"/>
    <w:rsid w:val="263F74AC"/>
    <w:rsid w:val="28ED7792"/>
    <w:rsid w:val="2CF5606A"/>
    <w:rsid w:val="32345338"/>
    <w:rsid w:val="323B1E58"/>
    <w:rsid w:val="37C66CDE"/>
    <w:rsid w:val="3A1D1EB3"/>
    <w:rsid w:val="407E0B69"/>
    <w:rsid w:val="4681570A"/>
    <w:rsid w:val="4D6002DD"/>
    <w:rsid w:val="4F8D47A2"/>
    <w:rsid w:val="5067741B"/>
    <w:rsid w:val="5B265086"/>
    <w:rsid w:val="635366A0"/>
    <w:rsid w:val="66245631"/>
    <w:rsid w:val="6B906444"/>
    <w:rsid w:val="726564CB"/>
    <w:rsid w:val="75D3349B"/>
    <w:rsid w:val="77556871"/>
    <w:rsid w:val="7EB122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2024-02-05T09:40:53Z</dcterms:created>
  <dcterms:modified xsi:type="dcterms:W3CDTF">2024-02-05T01:40:53Z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2024-02-05T09:40:54Z</dcterms:created>
  <dcterms:modified xsi:type="dcterms:W3CDTF">2024-02-05T01:40:54Z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2024-02-05T09:40:54Z</dcterms:created>
  <dcterms:modified xsi:type="dcterms:W3CDTF">2024-02-05T01:40:54Z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2024-02-05T09:40:53Z</dcterms:created>
  <dcterms:modified xsi:type="dcterms:W3CDTF">2024-02-05T01:40:53Z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2024-02-05T09:40:53Z</dcterms:created>
  <dcterms:modified xsi:type="dcterms:W3CDTF">2024-02-05T01:40:53Z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16f6c12-9146-4647-aee2-075092afa7df}">
  <ds:schemaRefs/>
</ds:datastoreItem>
</file>

<file path=customXml/itemProps11.xml><?xml version="1.0" encoding="utf-8"?>
<ds:datastoreItem xmlns:ds="http://schemas.openxmlformats.org/officeDocument/2006/customXml" ds:itemID="{f93a6a14-4f27-4439-b3c7-5a64f7d113cc}">
  <ds:schemaRefs/>
</ds:datastoreItem>
</file>

<file path=customXml/itemProps2.xml><?xml version="1.0" encoding="utf-8"?>
<ds:datastoreItem xmlns:ds="http://schemas.openxmlformats.org/officeDocument/2006/customXml" ds:itemID="{de759113-0710-460b-ac46-37730dac2c62}">
  <ds:schemaRefs/>
</ds:datastoreItem>
</file>

<file path=customXml/itemProps3.xml><?xml version="1.0" encoding="utf-8"?>
<ds:datastoreItem xmlns:ds="http://schemas.openxmlformats.org/officeDocument/2006/customXml" ds:itemID="{efc37fcf-7c48-4f22-97ff-8884c8fdd38c}">
  <ds:schemaRefs/>
</ds:datastoreItem>
</file>

<file path=customXml/itemProps4.xml><?xml version="1.0" encoding="utf-8"?>
<ds:datastoreItem xmlns:ds="http://schemas.openxmlformats.org/officeDocument/2006/customXml" ds:itemID="{7ccbe6dd-581f-484e-bef1-77c3c054df22}">
  <ds:schemaRefs/>
</ds:datastoreItem>
</file>

<file path=customXml/itemProps5.xml><?xml version="1.0" encoding="utf-8"?>
<ds:datastoreItem xmlns:ds="http://schemas.openxmlformats.org/officeDocument/2006/customXml" ds:itemID="{a68b81ad-08bf-4cd4-b951-c68c3e026e3f}">
  <ds:schemaRefs/>
</ds:datastoreItem>
</file>

<file path=customXml/itemProps6.xml><?xml version="1.0" encoding="utf-8"?>
<ds:datastoreItem xmlns:ds="http://schemas.openxmlformats.org/officeDocument/2006/customXml" ds:itemID="{8e34f4ae-c231-4c4a-9343-5d17ed92472e}">
  <ds:schemaRefs/>
</ds:datastoreItem>
</file>

<file path=customXml/itemProps7.xml><?xml version="1.0" encoding="utf-8"?>
<ds:datastoreItem xmlns:ds="http://schemas.openxmlformats.org/officeDocument/2006/customXml" ds:itemID="{f28b86ef-0b0a-4ade-bf58-6020c7244294}">
  <ds:schemaRefs/>
</ds:datastoreItem>
</file>

<file path=customXml/itemProps8.xml><?xml version="1.0" encoding="utf-8"?>
<ds:datastoreItem xmlns:ds="http://schemas.openxmlformats.org/officeDocument/2006/customXml" ds:itemID="{aef440e4-747a-4d3d-b298-037a23fb2142}">
  <ds:schemaRefs/>
</ds:datastoreItem>
</file>

<file path=customXml/itemProps9.xml><?xml version="1.0" encoding="utf-8"?>
<ds:datastoreItem xmlns:ds="http://schemas.openxmlformats.org/officeDocument/2006/customXml" ds:itemID="{014423da-fd09-45af-9208-ed0c61e71fbc}">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2024-02-05T09:40:00Z</dcterms:created>
  <dc:creator>Administrator</dc:creator>
  <cp:lastModifiedBy>新新相印</cp:lastModifiedBy>
  <dcterms:modified xsi:type="dcterms:W3CDTF">2024-08-12T08:58:02Z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