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tbl>
      <w:tblPr>
        <w:jc w:val="left"/>
        <w:tblW w:w="15292"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
      <w:tblGrid>
        <w:gridCol w:w="1254"/>
        <w:gridCol w:w="6392"/>
        <w:gridCol w:w="1254"/>
        <w:gridCol w:w="6392"/>
      </w:tblGrid>
      <w:tr>
        <w:tc>
          <w:tcPr>
            <w:tcW w:w="1200" w:type="dxa"/>
            <w:tcBorders>
              <w:tl2br w:val="nil"/>
              <w:tr2bl w:val="nil"/>
            </w:tcBorders>
            <w:tcMar>
              <w:top w:w="0" w:type="dxa"/>
              <w:left w:w="0" w:type="dxa"/>
              <w:bottom w:w="0" w:type="dxa"/>
              <w:right w:w="150" w:type="dxa"/>
            </w:tcMar>
          </w:tcPr>
          <w:p>
            <w:pPr>
              <w:spacing w:line="29" w:lineRule="atLeast"/>
              <w:ind w:left="0" w:right="0"/>
              <w:jc w:val="right"/>
              <w:textAlignment w:val="top"/>
              <w:rPr>
                <w:b/>
                <w:bCs/>
                <w:vanish w:val="0"/>
              </w:rPr>
            </w:pPr>
            <w:r>
              <w:rPr>
                <w:b/>
                <w:bCs/>
                <w:vanish w:val="0"/>
              </w:rPr>
              <w:t>名　　称:</w:t>
            </w:r>
          </w:p>
        </w:tc>
        <w:tc>
          <w:tcPr>
            <w:tcW w:w="6117" w:type="dxa"/>
            <w:tcBorders>
              <w:tl2br w:val="nil"/>
              <w:tr2bl w:val="nil"/>
            </w:tcBorders>
            <w:tcMar>
              <w:top w:w="0" w:type="dxa"/>
              <w:left w:w="0" w:type="dxa"/>
              <w:bottom w:w="0" w:type="dxa"/>
              <w:right w:w="0" w:type="dxa"/>
            </w:tcMar>
          </w:tcPr>
          <w:p>
            <w:pPr>
              <w:spacing w:line="29" w:lineRule="atLeast"/>
              <w:ind w:left="0" w:right="0"/>
              <w:textAlignment w:val="top"/>
              <w:rPr>
                <w:vanish w:val="0"/>
              </w:rPr>
            </w:pPr>
            <w:r>
              <w:rPr>
                <w:vanish w:val="0"/>
              </w:rPr>
              <w:t>关于彩票兑奖与适用税法有关口径的公告</w:t>
            </w:r>
            <w:bookmarkStart w:id="0" w:name="_GoBack"/>
            <w:bookmarkEnd w:id="0"/>
          </w:p>
        </w:tc>
        <w:tc>
          <w:tcPr>
            <w:tcW w:w="1200" w:type="dxa"/>
            <w:tcBorders>
              <w:tl2br w:val="nil"/>
              <w:tr2bl w:val="nil"/>
            </w:tcBorders>
            <w:tcMar>
              <w:top w:w="0" w:type="dxa"/>
              <w:left w:w="0" w:type="dxa"/>
              <w:bottom w:w="0" w:type="dxa"/>
              <w:right w:w="150" w:type="dxa"/>
            </w:tcMar>
          </w:tcPr>
          <w:p>
            <w:pPr>
              <w:spacing w:line="29" w:lineRule="atLeast"/>
              <w:ind w:left="0" w:right="0"/>
              <w:jc w:val="right"/>
              <w:textAlignment w:val="top"/>
              <w:rPr>
                <w:b/>
                <w:bCs/>
                <w:vanish w:val="0"/>
              </w:rPr>
            </w:pPr>
            <w:r>
              <w:rPr>
                <w:b/>
                <w:bCs/>
                <w:vanish w:val="0"/>
              </w:rPr>
              <w:t>文　　号:</w:t>
            </w:r>
          </w:p>
        </w:tc>
        <w:tc>
          <w:tcPr>
            <w:tcW w:w="6117" w:type="dxa"/>
            <w:tcBorders>
              <w:tl2br w:val="nil"/>
              <w:tr2bl w:val="nil"/>
            </w:tcBorders>
            <w:tcMar>
              <w:top w:w="0" w:type="dxa"/>
              <w:left w:w="0" w:type="dxa"/>
              <w:bottom w:w="0" w:type="dxa"/>
              <w:right w:w="0" w:type="dxa"/>
            </w:tcMar>
          </w:tcPr>
          <w:p>
            <w:pPr>
              <w:spacing w:line="29" w:lineRule="atLeast"/>
              <w:ind w:left="0" w:right="0"/>
              <w:textAlignment w:val="top"/>
              <w:rPr>
                <w:vanish w:val="0"/>
              </w:rPr>
            </w:pPr>
            <w:r>
              <w:rPr>
                <w:vanish w:val="0"/>
              </w:rPr>
              <w:t>财政部 税务总局 民政部 体育总局公告2024年第12号</w:t>
            </w:r>
          </w:p>
        </w:tc>
      </w:tr>
      <w:tr>
        <w:tc>
          <w:tcPr>
            <w:tcW w:w="1200" w:type="dxa"/>
            <w:tcBorders>
              <w:tl2br w:val="nil"/>
              <w:tr2bl w:val="nil"/>
            </w:tcBorders>
            <w:tcMar>
              <w:top w:w="0" w:type="dxa"/>
              <w:left w:w="0" w:type="dxa"/>
              <w:bottom w:w="0" w:type="dxa"/>
              <w:right w:w="150" w:type="dxa"/>
            </w:tcMar>
          </w:tcPr>
          <w:p>
            <w:pPr>
              <w:spacing w:line="29" w:lineRule="atLeast"/>
              <w:ind w:left="0" w:right="0"/>
              <w:jc w:val="right"/>
              <w:textAlignment w:val="top"/>
              <w:rPr>
                <w:b/>
                <w:bCs/>
                <w:vanish w:val="0"/>
              </w:rPr>
            </w:pPr>
            <w:r>
              <w:rPr>
                <w:b/>
                <w:bCs/>
                <w:vanish w:val="0"/>
              </w:rPr>
              <w:t>发布机构:</w:t>
            </w:r>
          </w:p>
        </w:tc>
        <w:tc>
          <w:tcPr>
            <w:tcW w:w="6117" w:type="dxa"/>
            <w:tcBorders>
              <w:tl2br w:val="nil"/>
              <w:tr2bl w:val="nil"/>
            </w:tcBorders>
            <w:tcMar>
              <w:top w:w="0" w:type="dxa"/>
              <w:left w:w="0" w:type="dxa"/>
              <w:bottom w:w="0" w:type="dxa"/>
              <w:right w:w="0" w:type="dxa"/>
            </w:tcMar>
          </w:tcPr>
          <w:p>
            <w:pPr>
              <w:spacing w:line="29" w:lineRule="atLeast"/>
              <w:ind w:left="0" w:right="0"/>
              <w:textAlignment w:val="top"/>
              <w:rPr>
                <w:vanish w:val="0"/>
              </w:rPr>
            </w:pPr>
            <w:r>
              <w:rPr>
                <w:vanish w:val="0"/>
              </w:rPr>
              <w:t>河北省财政厅</w:t>
            </w:r>
          </w:p>
        </w:tc>
        <w:tc>
          <w:tcPr>
            <w:tcW w:w="1200" w:type="dxa"/>
            <w:tcBorders>
              <w:tl2br w:val="nil"/>
              <w:tr2bl w:val="nil"/>
            </w:tcBorders>
            <w:tcMar>
              <w:top w:w="0" w:type="dxa"/>
              <w:left w:w="0" w:type="dxa"/>
              <w:bottom w:w="0" w:type="dxa"/>
              <w:right w:w="150" w:type="dxa"/>
            </w:tcMar>
          </w:tcPr>
          <w:p>
            <w:pPr>
              <w:spacing w:line="29" w:lineRule="atLeast"/>
              <w:ind w:left="0" w:right="0"/>
              <w:jc w:val="right"/>
              <w:textAlignment w:val="top"/>
              <w:rPr>
                <w:b/>
                <w:bCs/>
                <w:vanish w:val="0"/>
              </w:rPr>
            </w:pPr>
            <w:r>
              <w:rPr>
                <w:b/>
                <w:bCs/>
                <w:vanish w:val="0"/>
              </w:rPr>
              <w:t>发文日期:</w:t>
            </w:r>
          </w:p>
        </w:tc>
        <w:tc>
          <w:tcPr>
            <w:tcW w:w="6117" w:type="dxa"/>
            <w:tcBorders>
              <w:tl2br w:val="nil"/>
              <w:tr2bl w:val="nil"/>
            </w:tcBorders>
            <w:tcMar>
              <w:top w:w="0" w:type="dxa"/>
              <w:left w:w="0" w:type="dxa"/>
              <w:bottom w:w="0" w:type="dxa"/>
              <w:right w:w="0" w:type="dxa"/>
            </w:tcMar>
          </w:tcPr>
          <w:p>
            <w:pPr>
              <w:spacing w:line="29" w:lineRule="atLeast"/>
              <w:ind w:left="0" w:right="0"/>
              <w:textAlignment w:val="top"/>
              <w:rPr>
                <w:vanish w:val="0"/>
              </w:rPr>
            </w:pPr>
            <w:r>
              <w:rPr>
                <w:vanish w:val="0"/>
              </w:rPr>
              <w:t>2024年08月15日</w:t>
            </w:r>
          </w:p>
        </w:tc>
      </w:tr>
      <w:tr>
        <w:tc>
          <w:tcPr>
            <w:tcW w:w="1200" w:type="dxa"/>
            <w:gridSpan w:val="4"/>
            <w:tcBorders>
              <w:tl2br w:val="nil"/>
              <w:tr2bl w:val="nil"/>
            </w:tcBorders>
            <w:tcMar>
              <w:top w:w="0" w:type="dxa"/>
              <w:left w:w="0" w:type="dxa"/>
              <w:bottom w:w="0" w:type="dxa"/>
              <w:right w:w="150" w:type="dxa"/>
            </w:tcMar>
          </w:tcPr>
          <w:p>
            <w:pPr>
              <w:spacing w:line="29" w:lineRule="atLeast"/>
              <w:ind w:left="0" w:right="0"/>
              <w:jc w:val="right"/>
              <w:textAlignment w:val="top"/>
              <w:rPr>
                <w:b/>
                <w:bCs/>
                <w:vanish w:val="0"/>
              </w:rPr>
            </w:pPr>
          </w:p>
        </w:tc>
      </w:tr>
    </w:tbl>
    <w:p>
      <w:pPr>
        <w:pStyle w:val="92"/>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center"/>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bCs/>
          <w:i w:val="0"/>
          <w:iCs w:val="0"/>
          <w:caps w:val="0"/>
          <w:smallCaps w:val="0"/>
          <w:vanish w:val="0"/>
          <w:color w:val="333333"/>
          <w:spacing w:val="0"/>
          <w:sz w:val="30"/>
          <w:szCs w:val="30"/>
        </w:rPr>
        <w:t>关于彩票兑奖与适用税法有关口径的公告</w:t>
      </w:r>
    </w:p>
    <w:p>
      <w:pPr>
        <w:pStyle w:val="92"/>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为进一步完善福利彩票和体育彩票（以下统称彩票）兑奖与适用税法有关口径，促进彩票事业健康发展，现将有关事项公告如下： </w:t>
      </w:r>
    </w:p>
    <w:p>
      <w:pPr>
        <w:pStyle w:val="92"/>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一、按照个人所得税法及其实施条例的相关规定，彩票中奖收入属于偶然所得，以每次收入额为应纳税所得额，计算缴纳个人所得税。继续执行《财政部 国家税务总局关于个人取得体育彩票中奖所得征免个人所得税问题的通知》（财税字〔1998〕12号）、《国家税务总局关于社会福利有奖募捐发行收入税收问题的通知》（国税发〔1994〕127号）中有关彩票一次中奖收入不超过10000元暂免征收个人所得税的政策规定。  </w:t>
      </w:r>
    </w:p>
    <w:p>
      <w:pPr>
        <w:pStyle w:val="92"/>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二、电脑彩票以同一人在同一期同一游戏中获得的全部奖金为一次中奖收入，其中全国联网单场竞猜游戏分别按照足球游戏、篮球游戏、冠军游戏和冠亚军游戏设期，以每张彩票涉及比赛场次中最晚的比赛编号日期为判定标准，相同的为同一期；海南视频电子即开游戏以同一场游戏奖金为一次中奖收入。即开型彩票以一张彩票奖金为一次中奖收入。  </w:t>
      </w:r>
    </w:p>
    <w:p>
      <w:pPr>
        <w:pStyle w:val="92"/>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三、彩票机构和销售网点兑付电脑彩票时，兑奖金额超过3000元的，应登记中奖人相关实名信息和兑奖信息，中奖人应主动配合做好登记工作。  </w:t>
      </w:r>
    </w:p>
    <w:p>
      <w:pPr>
        <w:pStyle w:val="92"/>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四、按照个人所得税法规定，彩票机构负责代扣代缴个人所得税，为电脑彩票一次中奖收入超过3000元至10000元（含）的个人办理免税申报，为电脑彩票和即开型彩票一次中奖收入超过10000元的个人办理纳税申报。  </w:t>
      </w:r>
    </w:p>
    <w:p>
      <w:pPr>
        <w:pStyle w:val="92"/>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五、彩票发行机构按季度将彩票兑奖数据报送税务部门。  </w:t>
      </w:r>
    </w:p>
    <w:p>
      <w:pPr>
        <w:pStyle w:val="92"/>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六、本公告自2024年9月1日起执行。2024年9月1日前已销售，仍在兑奖有效期内但尚未兑奖的彩票，按本公告规定执行。  </w:t>
      </w:r>
    </w:p>
    <w:p>
      <w:pPr>
        <w:pStyle w:val="92"/>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特此公告。  </w:t>
      </w:r>
    </w:p>
    <w:p>
      <w:pPr>
        <w:pStyle w:val="92"/>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w:t>
      </w:r>
    </w:p>
    <w:p>
      <w:pPr>
        <w:pStyle w:val="92"/>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righ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财政部 税务总局 民政部 体育总局</w:t>
      </w:r>
    </w:p>
    <w:p>
      <w:pPr>
        <w:pStyle w:val="92"/>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righ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2024年8月15日</w:t>
      </w:r>
    </w:p>
    <w:p/>
    <w:sectPr>
      <w:pgSz w:w="11907" w:h="16839"/>
      <w:pgMar w:top="720" w:right="720" w:bottom="720" w:left="720" w:header="851" w:footer="992" w:gutter="0"/>
      <w:cols w:num="1" w:space="425"/>
      <w:docGrid w:linePitch="326" w:charSpace="0"/>
    </w:sectPr>
  </w:body>
</w:document>
</file>

<file path=word/fontTable.xml><?xml version="1.0" encoding="utf-8"?>
<w:fonts xmlns:w="http://schemas.openxmlformats.org/wordprocessingml/2006/main" xmlns:r="http://schemas.openxmlformats.org/officeDocument/2006/relationships">
  <w:font w:name="Microsoft YaHei">
    <w:panose1 w:val="020B0503020204020204"/>
    <w:charset w:val="86"/>
    <w:family w:val="auto"/>
    <w:pitch w:val="variable"/>
    <w:sig w:usb0="80000287" w:usb1="280F3C52" w:usb2="00000016" w:usb3="00000000" w:csb0="0004001F" w:csb1="00000000"/>
  </w:font>
  <w:font w:name="Times New Roman">
    <w:panose1 w:val="02020603050405020304"/>
    <w:charset w:val="00"/>
    <w:family w:val="auto"/>
    <w:pitch w:val="variable"/>
    <w:sig w:usb0="00000A87" w:usb1="00000000" w:usb2="00000000" w:usb3="00000000" w:csb0="400001BF" w:csb1="DFF7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20"/>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widowControl w:val="0"/>
      <w:spacing w:line="240" w:lineRule="auto"/>
      <w:jc w:val="left"/>
    </w:pPr>
    <w:rPr>
      <w:rFonts w:ascii="宋体" w:eastAsia="宋体" w:hAnsi="Times New Roman"/>
      <w:kern w:val="2"/>
      <w:sz w:val="24"/>
      <w:szCs w:val="21"/>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92">
    <w:name w:val="Normal (Web)"/>
    <w:basedOn w:val="0"/>
    <w:next w:val="15"/>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eastAsia="宋体" w:hAnsi="Times New Roman"/>
      <w:b w:val="0"/>
      <w:i w:val="0"/>
      <w:caps w:val="0"/>
      <w:smallCaps w:val="0"/>
      <w:strike w:val="0"/>
      <w:dstrike w:val="0"/>
      <w:snapToGrid/>
      <w:vanish w:val="0"/>
      <w:color w:val="auto"/>
      <w:spacing w:val="0"/>
      <w:w w:val="100"/>
      <w:kern w:val="0"/>
      <w:position w:val="0"/>
      <w:sz w:val="24"/>
      <w:szCs w:val="21"/>
      <w:u w:val="none" w:color="auto"/>
      <w:vertAlign w:val="baseline"/>
      <w:em w:val="none"/>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6FAAA9D9-AA66-429B-86DC-214E09983BA3}">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TotalTime>
  <Application>Yozo_Office27021597764231179</Application>
  <Pages>1</Pages>
  <Words>0</Words>
  <Characters>636</Characters>
  <Lines>0</Lines>
  <Paragraphs>14</Paragraphs>
  <CharactersWithSpaces>849</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Administrator</cp:lastModifiedBy>
  <cp:revision>1</cp:revision>
  <dcterms:created xsi:type="dcterms:W3CDTF">2021-05-08T07:28:00Z</dcterms:created>
  <dcterms:modified xsi:type="dcterms:W3CDTF">2024-09-06T00:27:28Z</dcterms:modified>
</cp:coreProperties>
</file>