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tbl>
      <w:tblPr>
        <w:jc w:val="left"/>
        <w:tblInd w:w="-416" w:type="dxa"/>
        <w:tblW w:w="15708"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
      <w:tblGrid>
        <w:gridCol w:w="1643"/>
        <w:gridCol w:w="6251"/>
        <w:gridCol w:w="1226"/>
        <w:gridCol w:w="6588"/>
      </w:tblGrid>
      <w:tr>
        <w:tc>
          <w:tcPr>
            <w:tcW w:w="1643" w:type="dxa"/>
            <w:tcBorders>
              <w:tl2br w:val="nil"/>
              <w:tr2bl w:val="nil"/>
            </w:tcBorders>
            <w:tcMar>
              <w:top w:w="0" w:type="dxa"/>
              <w:left w:w="0" w:type="dxa"/>
              <w:bottom w:w="0" w:type="dxa"/>
              <w:right w:w="150" w:type="dxa"/>
            </w:tcMar>
          </w:tcPr>
          <w:p>
            <w:pPr>
              <w:spacing w:line="29" w:lineRule="atLeast"/>
              <w:ind w:left="0" w:right="0"/>
              <w:jc w:val="right"/>
              <w:textAlignment w:val="top"/>
              <w:rPr>
                <w:b/>
                <w:bCs/>
                <w:vanish w:val="0"/>
              </w:rPr>
            </w:pPr>
            <w:r>
              <w:rPr>
                <w:b/>
                <w:bCs/>
                <w:vanish w:val="0"/>
              </w:rPr>
              <w:t>名　　称:</w:t>
            </w:r>
          </w:p>
        </w:tc>
        <w:tc>
          <w:tcPr>
            <w:tcW w:w="6251" w:type="dxa"/>
            <w:tcBorders>
              <w:tl2br w:val="nil"/>
              <w:tr2bl w:val="nil"/>
            </w:tcBorders>
            <w:tcMar>
              <w:top w:w="0" w:type="dxa"/>
              <w:left w:w="0" w:type="dxa"/>
              <w:bottom w:w="0" w:type="dxa"/>
              <w:right w:w="0" w:type="dxa"/>
            </w:tcMar>
          </w:tcPr>
          <w:p>
            <w:pPr>
              <w:spacing w:line="29" w:lineRule="atLeast"/>
              <w:ind w:left="0" w:right="0"/>
              <w:textAlignment w:val="top"/>
              <w:rPr>
                <w:vanish w:val="0"/>
              </w:rPr>
            </w:pPr>
            <w:r>
              <w:rPr>
                <w:vanish w:val="0"/>
              </w:rPr>
              <w:t>关于企业改制重组及事业单位改制有关印花税政策的公告</w:t>
            </w:r>
          </w:p>
        </w:tc>
        <w:tc>
          <w:tcPr>
            <w:tcW w:w="1226" w:type="dxa"/>
            <w:tcBorders>
              <w:tl2br w:val="nil"/>
              <w:tr2bl w:val="nil"/>
            </w:tcBorders>
            <w:tcMar>
              <w:top w:w="0" w:type="dxa"/>
              <w:left w:w="0" w:type="dxa"/>
              <w:bottom w:w="0" w:type="dxa"/>
              <w:right w:w="150" w:type="dxa"/>
            </w:tcMar>
          </w:tcPr>
          <w:p>
            <w:pPr>
              <w:spacing w:line="29" w:lineRule="atLeast"/>
              <w:ind w:left="0" w:right="0"/>
              <w:jc w:val="right"/>
              <w:textAlignment w:val="top"/>
              <w:rPr>
                <w:b/>
                <w:bCs/>
                <w:vanish w:val="0"/>
              </w:rPr>
            </w:pPr>
            <w:r>
              <w:rPr>
                <w:b/>
                <w:bCs/>
                <w:vanish w:val="0"/>
              </w:rPr>
              <w:t>文　　号:</w:t>
            </w:r>
          </w:p>
        </w:tc>
        <w:tc>
          <w:tcPr>
            <w:tcW w:w="6588" w:type="dxa"/>
            <w:tcBorders>
              <w:tl2br w:val="nil"/>
              <w:tr2bl w:val="nil"/>
            </w:tcBorders>
            <w:tcMar>
              <w:top w:w="0" w:type="dxa"/>
              <w:left w:w="0" w:type="dxa"/>
              <w:bottom w:w="0" w:type="dxa"/>
              <w:right w:w="0" w:type="dxa"/>
            </w:tcMar>
          </w:tcPr>
          <w:p>
            <w:pPr>
              <w:spacing w:line="29" w:lineRule="atLeast"/>
              <w:ind w:left="0" w:right="0"/>
              <w:textAlignment w:val="top"/>
              <w:rPr>
                <w:vanish w:val="0"/>
              </w:rPr>
            </w:pPr>
            <w:r>
              <w:rPr>
                <w:vanish w:val="0"/>
              </w:rPr>
              <w:t>财政部 税务总局公告2024年第14号</w:t>
            </w:r>
          </w:p>
        </w:tc>
      </w:tr>
      <w:tr>
        <w:tc>
          <w:tcPr>
            <w:tcW w:w="1643" w:type="dxa"/>
            <w:tcBorders>
              <w:tl2br w:val="nil"/>
              <w:tr2bl w:val="nil"/>
            </w:tcBorders>
            <w:tcMar>
              <w:top w:w="0" w:type="dxa"/>
              <w:left w:w="0" w:type="dxa"/>
              <w:bottom w:w="0" w:type="dxa"/>
              <w:right w:w="150" w:type="dxa"/>
            </w:tcMar>
          </w:tcPr>
          <w:p>
            <w:pPr>
              <w:spacing w:line="29" w:lineRule="atLeast"/>
              <w:ind w:left="0" w:right="0"/>
              <w:jc w:val="right"/>
              <w:textAlignment w:val="top"/>
              <w:rPr>
                <w:b/>
                <w:bCs/>
                <w:vanish w:val="0"/>
              </w:rPr>
            </w:pPr>
            <w:r>
              <w:rPr>
                <w:b/>
                <w:bCs/>
                <w:vanish w:val="0"/>
              </w:rPr>
              <w:t>发布机构:</w:t>
            </w:r>
          </w:p>
        </w:tc>
        <w:tc>
          <w:tcPr>
            <w:tcW w:w="6251" w:type="dxa"/>
            <w:tcBorders>
              <w:tl2br w:val="nil"/>
              <w:tr2bl w:val="nil"/>
            </w:tcBorders>
            <w:tcMar>
              <w:top w:w="0" w:type="dxa"/>
              <w:left w:w="0" w:type="dxa"/>
              <w:bottom w:w="0" w:type="dxa"/>
              <w:right w:w="0" w:type="dxa"/>
            </w:tcMar>
          </w:tcPr>
          <w:p>
            <w:pPr>
              <w:spacing w:line="29" w:lineRule="atLeast"/>
              <w:ind w:left="0" w:right="0"/>
              <w:textAlignment w:val="top"/>
              <w:rPr>
                <w:vanish w:val="0"/>
              </w:rPr>
            </w:pPr>
            <w:r>
              <w:rPr>
                <w:vanish w:val="0"/>
              </w:rPr>
              <w:t>河北省财政厅</w:t>
            </w:r>
          </w:p>
        </w:tc>
        <w:tc>
          <w:tcPr>
            <w:tcW w:w="1226" w:type="dxa"/>
            <w:tcBorders>
              <w:tl2br w:val="nil"/>
              <w:tr2bl w:val="nil"/>
            </w:tcBorders>
            <w:tcMar>
              <w:top w:w="0" w:type="dxa"/>
              <w:left w:w="0" w:type="dxa"/>
              <w:bottom w:w="0" w:type="dxa"/>
              <w:right w:w="150" w:type="dxa"/>
            </w:tcMar>
          </w:tcPr>
          <w:p>
            <w:pPr>
              <w:spacing w:line="29" w:lineRule="atLeast"/>
              <w:ind w:left="0" w:right="0"/>
              <w:jc w:val="right"/>
              <w:textAlignment w:val="top"/>
              <w:rPr>
                <w:b/>
                <w:bCs/>
                <w:vanish w:val="0"/>
              </w:rPr>
            </w:pPr>
            <w:r>
              <w:rPr>
                <w:b/>
                <w:bCs/>
                <w:vanish w:val="0"/>
              </w:rPr>
              <w:t>发文日</w:t>
            </w:r>
            <w:bookmarkStart w:id="0" w:name="_GoBack"/>
            <w:bookmarkEnd w:id="0"/>
            <w:r>
              <w:rPr>
                <w:b/>
                <w:bCs/>
                <w:vanish w:val="0"/>
              </w:rPr>
              <w:t>期:</w:t>
            </w:r>
          </w:p>
        </w:tc>
        <w:tc>
          <w:tcPr>
            <w:tcW w:w="6588" w:type="dxa"/>
            <w:tcBorders>
              <w:tl2br w:val="nil"/>
              <w:tr2bl w:val="nil"/>
            </w:tcBorders>
            <w:tcMar>
              <w:top w:w="0" w:type="dxa"/>
              <w:left w:w="0" w:type="dxa"/>
              <w:bottom w:w="0" w:type="dxa"/>
              <w:right w:w="0" w:type="dxa"/>
            </w:tcMar>
          </w:tcPr>
          <w:p>
            <w:pPr>
              <w:spacing w:line="29" w:lineRule="atLeast"/>
              <w:ind w:left="0" w:right="0"/>
              <w:textAlignment w:val="top"/>
              <w:rPr>
                <w:vanish w:val="0"/>
              </w:rPr>
            </w:pPr>
            <w:r>
              <w:rPr>
                <w:vanish w:val="0"/>
              </w:rPr>
              <w:t>2024年08月27日</w:t>
            </w:r>
          </w:p>
        </w:tc>
      </w:tr>
      <w:tr>
        <w:tc>
          <w:tcPr>
            <w:tcW w:w="1643" w:type="dxa"/>
            <w:tcBorders>
              <w:tl2br w:val="nil"/>
              <w:tr2bl w:val="nil"/>
            </w:tcBorders>
            <w:tcMar>
              <w:top w:w="0" w:type="dxa"/>
              <w:left w:w="0" w:type="dxa"/>
              <w:bottom w:w="0" w:type="dxa"/>
              <w:right w:w="150" w:type="dxa"/>
            </w:tcMar>
          </w:tcPr>
          <w:p>
            <w:pPr>
              <w:spacing w:line="29" w:lineRule="atLeast"/>
              <w:ind w:left="0" w:right="0"/>
              <w:jc w:val="right"/>
              <w:textAlignment w:val="top"/>
              <w:rPr>
                <w:b/>
                <w:bCs/>
                <w:vanish w:val="0"/>
              </w:rPr>
            </w:pPr>
            <w:r>
              <w:rPr>
                <w:b/>
                <w:bCs/>
                <w:vanish w:val="0"/>
              </w:rPr>
              <w:t>效力状态:</w:t>
            </w:r>
          </w:p>
        </w:tc>
        <w:tc>
          <w:tcPr>
            <w:tcW w:w="14065" w:type="dxa"/>
            <w:gridSpan w:val="3"/>
            <w:tcBorders>
              <w:tl2br w:val="nil"/>
              <w:tr2bl w:val="nil"/>
            </w:tcBorders>
            <w:tcMar>
              <w:top w:w="0" w:type="dxa"/>
              <w:left w:w="0" w:type="dxa"/>
              <w:bottom w:w="0" w:type="dxa"/>
              <w:right w:w="0" w:type="dxa"/>
            </w:tcMar>
          </w:tcPr>
          <w:p>
            <w:pPr>
              <w:spacing w:line="29" w:lineRule="atLeast"/>
              <w:ind w:left="0" w:right="0"/>
              <w:textAlignment w:val="top"/>
              <w:rPr>
                <w:vanish w:val="0"/>
              </w:rPr>
            </w:pPr>
          </w:p>
        </w:tc>
      </w:tr>
    </w:tbl>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center"/>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bCs/>
          <w:i w:val="0"/>
          <w:iCs w:val="0"/>
          <w:caps w:val="0"/>
          <w:smallCaps w:val="0"/>
          <w:vanish w:val="0"/>
          <w:color w:val="333333"/>
          <w:spacing w:val="0"/>
          <w:sz w:val="24"/>
          <w:szCs w:val="24"/>
        </w:rPr>
        <w:t>关于企业改制重组及事业单位改制有关印花税政策的公告</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为支持企业改制重组及事业单位改制，进一步激发各类经营主体内生动力和创新活力，促进经济社会高质量发展，现就有关印花税政策公告如下：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一、关于营业账簿的印花税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一）企业改制重组以及事业单位改制过程中成立的新企业，其新启用营业账簿记载的实收资本（股本）、资本公积合计金额，原已缴纳印花税的部分不再缴纳印花税，未缴纳印花税的部分和以后新增加的部分应当按规定缴纳印花税。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二）企业债权转股权新增加的实收资本（股本）、资本公积合计金额，应当按规定缴纳印花税。对经国务院批准实施的重组项目中发生的债权转股权，债务人因债务转为资本而增加的实收资本（股本）、资本公积合计金额，免征印花税。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（三）企业改制重组以及事业单位改制过程中，经评估增加的实收资本（股本）、资本公积合计金额，应当按规定缴纳印花税。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（四）企业其他会计科目记载的资金转为实收资本（股本）或者资本公积的，应当按规定缴纳印花税。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二、关于各类应税合同的印花税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企业改制重组以及事业单位改制前书立但尚未履行完毕的各类应税合同，由改制重组后的主体承继原合同权利和义务且未变更原合同计税依据的，改制重组前已缴纳印花税的，不再缴纳印花税。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三、关于产权转移书据的印花税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对企业改制、合并、分立、破产清算以及事业单位改制书立的产权转移书据，免征印花税。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对县级以上人民政府或者其所属具有国有资产管理职责的部门按规定对土地使用权、房屋等建筑物和构筑物所有权、股权进行行政性调整书立的产权转移书据，免征印花税。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对同一投资主体内部划转土地使用权、房屋等建筑物和构筑物所有权、股权书立的产权转移书据，免征印花税。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四、关于政策适用的范围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一）本公告所称企业改制，具体包括非公司制企业改制为有限责任公司或者股份有限公司，有限责任公司变更为股份有限公司，股份有限公司变更为有限责任公司。同时，原企业投资主体存续并在改制（变更）后的公司中所持股权（股份）比例超过75%，且改制（变更）后公司承继原企业权利、义务。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（二）本公告所称企业重组，包括合并、分立、其他资产或股权出资和划转、债务重组等。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合并，是指两个或两个以上的公司，依照法律规定、合同约定，合并为一个公司，且原投资主体存续。母公司与其全资子公司相互吸收合并的，适用该款规定。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分立，是指公司依照法律规定、合同约定分立为两个或两个以上与原公司投资主体相同的公司。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（三）本公告所称投资主体存续，是指原改制、重组企业出资人必须存在于改制、重组后的企业，出资人的出资比例可以发生变动。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本公告所称投资主体相同，是指公司分立前后出资人不发生变动，出资人的出资比例可以发生变动。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（四）本公告所称事业单位改制，是指事业单位按照国家有关规定改制为企业，原出资人（包括履行国有资产出资人职责的单位）存续并在改制后的企业中出资（股权、股份）比例超过50%。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（五）本公告所称同一投资主体内部，包括母公司与其全资子公司之间，同一公司所属全资子公司之间，同一自然人与其设立的个人独资企业、一人有限公司、个体工商户之间。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（六）本公告所称企业、公司，是指依照我国有关法律法规设立并在中国境内注册的企业、公司。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本公告自2024年10月1日起执行至2027年12月31日。《财政部 国家税务总局关于企业改制过程中有关印花税政策的通知》（财税〔2003〕183号）同时废止。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firstLine="0"/>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特此公告。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righ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财政部 税务总局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firstLine="0"/>
        <w:jc w:val="right"/>
        <w:rPr>
          <w:rFonts w:ascii="Microsoft YaHei" w:eastAsia="Microsoft YaHei" w:hint="eastAsia"/>
          <w:color w:val="333333"/>
          <w:szCs w:val="24"/>
        </w:rPr>
      </w:pPr>
      <w:r>
        <w:rPr>
          <w:rFonts w:ascii="Microsoft YaHei" w:eastAsia="Microsoft YaHei" w:hint="eastAsia"/>
          <w:b w:val="0"/>
          <w:bCs w:val="0"/>
          <w:i w:val="0"/>
          <w:iCs w:val="0"/>
          <w:caps w:val="0"/>
          <w:smallCaps w:val="0"/>
          <w:vanish w:val="0"/>
          <w:color w:val="333333"/>
          <w:spacing w:val="0"/>
          <w:sz w:val="24"/>
          <w:szCs w:val="24"/>
        </w:rPr>
        <w:t>　　2024年8月27日 </w:t>
      </w:r>
    </w:p>
    <w:sectPr>
      <w:pgSz w:w="16839" w:h="11907" w:orient="landscape"/>
      <w:pgMar w:top="720" w:right="720" w:bottom="720" w:left="720" w:header="851" w:footer="992" w:gutter="0"/>
      <w:cols w:num="1" w:space="425"/>
      <w:docGrid w:linePitch="326" w:charSpace="0"/>
    </w:sectPr>
  </w:body>
</w:document>
</file>

<file path=word/fontTable.xml><?xml version="1.0" encoding="utf-8"?>
<w:fonts xmlns:w="http://schemas.openxmlformats.org/wordprocessingml/2006/main" xmlns:r="http://schemas.openxmlformats.org/officeDocument/2006/relationships">
  <w:font w:name="Microsoft YaHei">
    <w:altName w:val="微软雅黑"/>
    <w:panose1 w:val="020B0503020204020204"/>
    <w:charset w:val="86"/>
    <w:family w:val="auto"/>
    <w:pitch w:val="variable"/>
    <w:sig w:usb0="80000287" w:usb1="280F3C52" w:usb2="00000016" w:usb3="00000000" w:csb0="0004001F" w:csb1="00000000"/>
  </w:font>
  <w:font w:name="Times New Roman">
    <w:panose1 w:val="02020603050405020304"/>
    <w:charset w:val="00"/>
    <w:family w:val="auto"/>
    <w:pitch w:val="variable"/>
    <w:sig w:usb0="00000A87" w:usb1="00000000" w:usb2="00000000" w:usb3="00000000" w:csb0="400001BF" w:csb1="DFF7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20"/>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spacing w:line="240" w:lineRule="auto"/>
      <w:jc w:val="left"/>
    </w:pPr>
    <w:rPr>
      <w:rFonts w:ascii="宋体" w:eastAsia="宋体" w:cs="Arial" w:hAnsi="Times New Roman"/>
      <w:kern w:val="2"/>
      <w:sz w:val="24"/>
      <w:szCs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Normal (Web)"/>
    <w:basedOn w:val="0"/>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hAnsi="Times New Roman"/>
      <w:b w:val="0"/>
      <w:i w:val="0"/>
      <w:caps w:val="0"/>
      <w:smallCaps w:val="0"/>
      <w:strike w:val="0"/>
      <w:dstrike w:val="0"/>
      <w:snapToGrid/>
      <w:vanish w:val="0"/>
      <w:color w:val="auto"/>
      <w:spacing w:val="0"/>
      <w:w w:val="100"/>
      <w:kern w:val="0"/>
      <w:position w:val="0"/>
      <w:sz w:val="24"/>
      <w:szCs w:val="21"/>
      <w:u w:val="none" w:color="auto"/>
      <w:vertAlign w:val="baseline"/>
      <w:em w:val="none"/>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06470419-435D-473C-9108-AFA9D9907B63}">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TotalTime>
  <Application>Yozo_Office27021597764231179</Application>
  <Pages>2</Pages>
  <Words>0</Words>
  <Characters>1220</Characters>
  <Lines>0</Lines>
  <Paragraphs>28</Paragraphs>
  <CharactersWithSpaces>1627</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Administrator</cp:lastModifiedBy>
  <cp:revision>1</cp:revision>
  <cp:lastPrinted>2024-09-06T00:32:33Z</cp:lastPrinted>
  <dcterms:created xsi:type="dcterms:W3CDTF">2021-05-08T07:28:00Z</dcterms:created>
  <dcterms:modified xsi:type="dcterms:W3CDTF">2024-09-06T00:32:39Z</dcterms:modified>
</cp:coreProperties>
</file>