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Ansi="仿宋_GB2312" w:hint="eastAsia"/>
                <w:kern w:val="0"/>
                <w:sz w:val="18"/>
                <w:szCs w:val="18"/>
              </w:rPr>
              <w:t>行政许可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县自然</w:t>
            </w:r>
            <w:r>
              <w:rPr>
                <w:rFonts w:ascii="仿宋_GB2312" w:eastAsia="仿宋_GB2312" w:cs="仿宋_GB2312" w:hint="eastAsia"/>
                <w:color w:val="000000"/>
                <w:kern w:val="0"/>
                <w:sz w:val="18"/>
                <w:szCs w:val="18"/>
              </w:rPr>
              <w:t>资源</w:t>
            </w:r>
            <w:r>
              <w:rPr>
                <w:rFonts w:ascii="仿宋_GB2312" w:eastAsia="仿宋_GB2312" w:cs="仿宋_GB2312" w:hint="eastAsia"/>
                <w:color w:val="000000"/>
                <w:kern w:val="0"/>
                <w:sz w:val="18"/>
                <w:szCs w:val="18"/>
                <w:lang w:eastAsia="zh-CN"/>
              </w:rPr>
              <w:t>和</w:t>
            </w:r>
            <w:r>
              <w:rPr>
                <w:rFonts w:ascii="仿宋_GB2312" w:eastAsia="仿宋_GB2312" w:cs="仿宋_GB2312" w:hint="eastAsia"/>
                <w:color w:val="000000"/>
                <w:kern w:val="0"/>
                <w:sz w:val="18"/>
                <w:szCs w:val="18"/>
              </w:rPr>
              <w:t>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ascii="仿宋_GB2312" w:eastAsia="仿宋_GB2312" w:cs="仿宋_GB2312" w:hAnsi="仿宋_GB2312" w:hint="eastAsia"/>
                <w:kern w:val="0"/>
                <w:sz w:val="18"/>
                <w:szCs w:val="18"/>
              </w:rPr>
              <w:t>建设项目用地预审与选址意见书核发</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中华人民共和国城乡规划法》（2007年10月28日主席令第七十四号，2015年4月24日予以修改）第三十六条"按照国家规定需要有关部门批准或者核准的建设项目，以划拨方式提供国有土地使用权的，建设单位在报送有关部门批准或者核准前，应当向城乡规划主管部门申请核发选址意见书"</w:t>
            </w:r>
          </w:p>
          <w:p>
            <w:pPr>
              <w:spacing w:line="240" w:lineRule="exact"/>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2、《中华人民共和国土地管理法》第五十二条“建设项目可行性研究论证时，自然资源主管部门可以根据土地利用总体规划、土地利用年度计划和建设用地标准，对建设用地有关事项进行审查，并提出意见。”</w:t>
            </w:r>
          </w:p>
          <w:p>
            <w:pPr>
              <w:spacing w:line="240" w:lineRule="exact"/>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3、河北省其</w:t>
            </w:r>
            <w:r>
              <w:rPr>
                <w:rFonts w:ascii="仿宋_GB2312" w:eastAsia="仿宋_GB2312" w:cs="仿宋_GB2312" w:hAnsi="仿宋_GB2312"/>
                <w:kern w:val="0"/>
                <w:sz w:val="18"/>
                <w:szCs w:val="18"/>
              </w:rPr>
              <w:t>他</w:t>
            </w:r>
            <w:bookmarkStart w:id="0" w:name="_GoBack"/>
            <w:bookmarkEnd w:id="0"/>
            <w:r>
              <w:rPr>
                <w:rFonts w:ascii="仿宋_GB2312" w:eastAsia="仿宋_GB2312" w:cs="仿宋_GB2312" w:hAnsi="仿宋_GB2312" w:hint="eastAsia"/>
                <w:kern w:val="0"/>
                <w:sz w:val="18"/>
                <w:szCs w:val="18"/>
              </w:rPr>
              <w:t>相关法律、法规。</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FF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依法受理或不予受理，并一次性告之不予受理理由或需补充提供的相关材料目录</w:t>
            </w:r>
          </w:p>
        </w:tc>
        <w:tc>
          <w:tcPr>
            <w:tcW w:w="1339" w:type="dxa"/>
            <w:gridSpan w:val="2"/>
            <w:vMerge w:val="restart"/>
            <w:tcBorders>
              <w:tl2br w:val="nil"/>
              <w:tr2bl w:val="nil"/>
            </w:tcBorders>
            <w:shd w:val="clear" w:color="auto" w:fill="auto"/>
            <w:vAlign w:val="center"/>
          </w:tcPr>
          <w:p>
            <w:pPr>
              <w:rPr>
                <w:rFonts w:ascii="仿宋" w:eastAsia="仿宋" w:cs="黑体" w:hAnsi="仿宋"/>
                <w:color w:val="000000"/>
                <w:sz w:val="18"/>
                <w:szCs w:val="18"/>
              </w:rPr>
            </w:pPr>
            <w:r>
              <w:rPr>
                <w:rFonts w:ascii="仿宋" w:eastAsia="仿宋" w:cs="黑体" w:hAnsi="仿宋" w:hint="eastAsia"/>
                <w:color w:val="000000"/>
                <w:sz w:val="18"/>
                <w:szCs w:val="18"/>
              </w:rPr>
              <w:t>1个工作日（不含补正时间）</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审查</w:t>
            </w:r>
            <w:r>
              <w:rPr>
                <w:rFonts w:ascii="仿宋_GB2312" w:eastAsia="仿宋_GB2312" w:cs="仿宋_GB2312"/>
                <w:color w:val="000000"/>
                <w:kern w:val="0"/>
                <w:sz w:val="18"/>
                <w:szCs w:val="18"/>
              </w:rPr>
              <w:t>申请对象提供的相关材料，进行相关调查核实，</w:t>
            </w:r>
            <w:r>
              <w:rPr>
                <w:rFonts w:ascii="仿宋_GB2312" w:eastAsia="仿宋_GB2312" w:cs="仿宋_GB2312" w:hint="eastAsia"/>
                <w:color w:val="000000"/>
                <w:kern w:val="0"/>
                <w:sz w:val="18"/>
                <w:szCs w:val="18"/>
              </w:rPr>
              <w:t>并就审查内容出具审查意见。</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耕地保护股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批准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对符合核发要求，通过相关科室审查卷宗，核发《建设项目用地预审与选址意见书》</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耕地保护股</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486"/>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7"/>
                <w:color w:val="auto"/>
              </w:rPr>
            </w:pPr>
            <w:r>
              <w:rPr>
                <w:rStyle w:val="17"/>
                <w:rFonts w:hint="eastAsia"/>
                <w:color w:val="auto"/>
              </w:rPr>
              <w:t xml:space="preserve"> 见附件</w:t>
            </w:r>
          </w:p>
        </w:tc>
      </w:tr>
      <w:tr>
        <w:trPr>
          <w:trHeight w:val="1571"/>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7"/>
              </w:rPr>
            </w:pPr>
            <w:r>
              <w:rPr>
                <w:rStyle w:val="17"/>
              </w:rPr>
              <w:t>因不履行或不正确履行行政职责，有下列情形的，行政机关及相关工作人员应承担相应责任：</w:t>
            </w:r>
          </w:p>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1.受理责任：一次性告知补正材料，依法受理或不予受理（不予受理应当告知理由）。</w:t>
              <w:br/>
              <w:t>2.审查责任：按照法律、法规对上报材料进行审查，提出审查意见。</w:t>
              <w:br/>
              <w:t>3.审批责任；审查通过后核发</w:t>
            </w:r>
            <w:r>
              <w:rPr>
                <w:rFonts w:ascii="仿宋_GB2312" w:eastAsia="仿宋_GB2312" w:cs="仿宋_GB2312" w:hint="eastAsia"/>
                <w:color w:val="000000"/>
                <w:kern w:val="0"/>
                <w:sz w:val="18"/>
                <w:szCs w:val="18"/>
              </w:rPr>
              <w:t>《建设项目用地预审与选址意见书》</w:t>
            </w:r>
            <w:r>
              <w:rPr>
                <w:rFonts w:ascii="仿宋_GB2312" w:eastAsia="仿宋_GB2312" w:cs="仿宋_GB2312" w:hAnsi="仿宋_GB2312" w:hint="eastAsia"/>
                <w:kern w:val="0"/>
                <w:sz w:val="18"/>
                <w:szCs w:val="18"/>
              </w:rPr>
              <w:t>。</w:t>
              <w:br/>
              <w:t>4.其他法律法规规章文件规定应履行的责任。</w:t>
            </w:r>
          </w:p>
        </w:tc>
      </w:tr>
      <w:tr>
        <w:trPr>
          <w:trHeight w:val="111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2862279</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r>
              <w:rPr>
                <w:rFonts w:ascii="仿宋_GB2312" w:eastAsia="仿宋_GB2312" w:cs="仿宋_GB2312" w:hint="eastAsia"/>
                <w:color w:val="000000"/>
                <w:kern w:val="0"/>
                <w:sz w:val="18"/>
                <w:szCs w:val="18"/>
              </w:rPr>
              <w:t xml:space="preserve"> </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71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 w:type="character" w:customStyle="1" w:styleId="17">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FE929045-DA7F-4A04-A2C3-9EB0BE50C56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702</Characters>
  <Lines>0</Lines>
  <Paragraphs>4</Paragraphs>
  <CharactersWithSpaces>937</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韩士玉</dc:creator>
  <cp:lastModifiedBy>hp</cp:lastModifiedBy>
  <cp:revision>16</cp:revision>
  <dcterms:created xsi:type="dcterms:W3CDTF">2023-10-17T02:22:00Z</dcterms:created>
  <dcterms:modified xsi:type="dcterms:W3CDTF">2024-09-27T03:31:25Z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243EB9BD1C7C43E89905A81A4D1C05BB_12</vt:lpwstr>
  </property>
</Properties>
</file>