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97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89"/>
        <w:gridCol w:w="997"/>
        <w:gridCol w:w="608"/>
        <w:gridCol w:w="1605"/>
        <w:gridCol w:w="1194"/>
        <w:gridCol w:w="670"/>
        <w:gridCol w:w="810"/>
        <w:gridCol w:w="670"/>
        <w:gridCol w:w="406"/>
        <w:gridCol w:w="1427"/>
      </w:tblGrid>
      <w:tr>
        <w:trPr>
          <w:trHeight w:val="383"/>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05"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05"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864"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行政许可</w:t>
            </w:r>
          </w:p>
        </w:tc>
        <w:tc>
          <w:tcPr>
            <w:tcW w:w="1480"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833" w:type="dxa"/>
            <w:gridSpan w:val="2"/>
            <w:tcBorders>
              <w:tl2br w:val="nil"/>
              <w:tr2bl w:val="nil"/>
            </w:tcBorders>
            <w:shd w:val="clear" w:color="auto" w:fill="auto"/>
            <w:vAlign w:val="center"/>
          </w:tcPr>
          <w:p>
            <w:pPr>
              <w:widowControl/>
              <w:jc w:val="both"/>
              <w:textAlignment w:val="center"/>
              <w:rPr>
                <w:rFonts w:ascii="仿宋_GB2312" w:eastAsia="仿宋_GB2312" w:cs="仿宋_GB2312" w:hint="eastAsia"/>
                <w:color w:val="000000"/>
                <w:kern w:val="0"/>
                <w:sz w:val="18"/>
                <w:szCs w:val="18"/>
                <w:lang w:val="en-US" w:eastAsia="zh-CN"/>
              </w:rPr>
            </w:pPr>
            <w:r>
              <w:rPr>
                <w:rFonts w:ascii="仿宋_GB2312" w:eastAsia="仿宋_GB2312" w:cs="仿宋_GB2312" w:hint="eastAsia"/>
                <w:color w:val="000000"/>
                <w:kern w:val="0"/>
                <w:sz w:val="18"/>
                <w:szCs w:val="18"/>
                <w:lang w:val="en-US" w:eastAsia="zh-CN"/>
              </w:rPr>
              <w:t>县自然资源和规划局</w:t>
            </w:r>
          </w:p>
        </w:tc>
      </w:tr>
      <w:tr>
        <w:trPr>
          <w:trHeight w:val="383"/>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387" w:type="dxa"/>
            <w:gridSpan w:val="9"/>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Ansi="仿宋_GB2312" w:hint="eastAsia"/>
                <w:kern w:val="0"/>
                <w:sz w:val="18"/>
                <w:szCs w:val="18"/>
              </w:rPr>
              <w:t>国有建设用地使用权出让后土地使用权分割转让批准</w:t>
            </w:r>
          </w:p>
        </w:tc>
      </w:tr>
      <w:tr>
        <w:trPr>
          <w:trHeight w:val="2235"/>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387" w:type="dxa"/>
            <w:gridSpan w:val="9"/>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1.《中华人民共和国城市房地产管理法》（1995.1.1实施）第三十二条至第四十三条</w:t>
            </w:r>
          </w:p>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 xml:space="preserve">2.《中华人民共和国城镇国有土地使用权出让和转让暂行条例》（国务院令第55号1990.5.19实施）第十九条至第二十七条 </w:t>
            </w:r>
          </w:p>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3.《国务院办公厅关于完善建设用地使用权转让、出租、抵押二级市场的指导意见》（国办发[2019]34号）</w:t>
            </w:r>
          </w:p>
          <w:p>
            <w:pPr>
              <w:spacing w:line="240" w:lineRule="exact"/>
              <w:rPr>
                <w:rFonts w:ascii="黑体" w:eastAsia="黑体" w:cs="仿宋_GB2312" w:hAnsi="黑体"/>
                <w:kern w:val="0"/>
                <w:sz w:val="18"/>
                <w:szCs w:val="18"/>
              </w:rPr>
            </w:pPr>
            <w:r>
              <w:rPr>
                <w:rFonts w:ascii="仿宋_GB2312" w:eastAsia="仿宋_GB2312" w:cs="仿宋_GB2312" w:hAnsi="仿宋_GB2312" w:hint="eastAsia"/>
                <w:kern w:val="0"/>
                <w:sz w:val="18"/>
                <w:szCs w:val="18"/>
              </w:rPr>
              <w:t>4.</w:t>
            </w:r>
            <w:r>
              <w:rPr>
                <w:rFonts w:ascii="仿宋_GB2312" w:eastAsia="仿宋_GB2312" w:cs="仿宋_GB2312" w:hAnsi="仿宋_GB2312" w:hint="eastAsia"/>
                <w:sz w:val="18"/>
                <w:szCs w:val="18"/>
              </w:rPr>
              <w:t>《河北省人民政府办公厅关于完善建设用地使用权转让、出租、抵押二级市场的实施意见》（冀政办字〔2019〕79号）</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ind w:firstLineChars="200" w:firstLine="360"/>
              <w:rPr>
                <w:rFonts w:ascii="仿宋_GB2312" w:eastAsia="仿宋_GB2312"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eastAsia="zh-CN"/>
              </w:rPr>
              <w:t>四）国土空间用途管制</w:t>
            </w:r>
          </w:p>
        </w:tc>
      </w:tr>
      <w:tr>
        <w:trPr>
          <w:trHeight w:val="383"/>
        </w:trPr>
        <w:tc>
          <w:tcPr>
            <w:tcW w:w="1389"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997"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48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76"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27"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1"/>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申请</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一次性告知需要准备材料</w:t>
            </w:r>
          </w:p>
        </w:tc>
        <w:tc>
          <w:tcPr>
            <w:tcW w:w="1076" w:type="dxa"/>
            <w:gridSpan w:val="2"/>
            <w:vMerge w:val="restart"/>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3个工作日</w:t>
            </w: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lang w:eastAsia="zh-CN"/>
              </w:rPr>
              <w:t>县</w:t>
            </w:r>
            <w:r>
              <w:rPr>
                <w:rFonts w:ascii="仿宋_GB2312" w:eastAsia="仿宋_GB2312" w:cs="黑体" w:hAnsi="黑体" w:hint="eastAsia"/>
                <w:color w:val="000000"/>
                <w:sz w:val="18"/>
                <w:szCs w:val="18"/>
              </w:rPr>
              <w:t>资源规划局驻厅窗口</w:t>
            </w:r>
          </w:p>
        </w:tc>
      </w:tr>
      <w:tr>
        <w:trPr>
          <w:trHeight w:val="471"/>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受理</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勘验现场，搜集相关文件资料，现场拍照等</w:t>
            </w:r>
          </w:p>
        </w:tc>
        <w:tc>
          <w:tcPr>
            <w:tcW w:w="1076" w:type="dxa"/>
            <w:gridSpan w:val="2"/>
            <w:vMerge/>
            <w:tcBorders>
              <w:tl2br w:val="nil"/>
              <w:tr2bl w:val="nil"/>
            </w:tcBorders>
            <w:shd w:val="clear" w:color="auto" w:fill="auto"/>
            <w:vAlign w:val="center"/>
          </w:tcP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lang w:eastAsia="zh-CN"/>
              </w:rPr>
              <w:t>县</w:t>
            </w:r>
            <w:r>
              <w:rPr>
                <w:rFonts w:ascii="仿宋_GB2312" w:eastAsia="仿宋_GB2312" w:cs="黑体" w:hAnsi="黑体" w:hint="eastAsia"/>
                <w:color w:val="000000"/>
                <w:sz w:val="18"/>
                <w:szCs w:val="18"/>
              </w:rPr>
              <w:t>资源规划局驻厅窗口</w:t>
            </w:r>
          </w:p>
        </w:tc>
      </w:tr>
      <w:tr>
        <w:trPr>
          <w:trHeight w:val="383"/>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审批</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相关材料及法律法规的准确性</w:t>
            </w:r>
          </w:p>
        </w:tc>
        <w:tc>
          <w:tcPr>
            <w:tcW w:w="1076" w:type="dxa"/>
            <w:gridSpan w:val="2"/>
            <w:vMerge/>
            <w:tcBorders>
              <w:tl2br w:val="nil"/>
              <w:tr2bl w:val="nil"/>
            </w:tcBorders>
            <w:shd w:val="clear" w:color="auto" w:fill="auto"/>
            <w:vAlign w:val="center"/>
          </w:tcP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hint="eastAsia"/>
                <w:color w:val="000000"/>
                <w:sz w:val="18"/>
                <w:szCs w:val="18"/>
                <w:lang w:eastAsia="zh-CN"/>
              </w:rPr>
            </w:pPr>
            <w:r>
              <w:rPr>
                <w:rFonts w:ascii="仿宋_GB2312" w:eastAsia="仿宋_GB2312" w:cs="黑体" w:hAnsi="黑体" w:hint="eastAsia"/>
                <w:color w:val="000000"/>
                <w:sz w:val="18"/>
                <w:szCs w:val="18"/>
                <w:lang w:eastAsia="zh-CN"/>
              </w:rPr>
              <w:t>土地利用股</w:t>
            </w:r>
          </w:p>
        </w:tc>
      </w:tr>
      <w:tr>
        <w:trPr>
          <w:trHeight w:val="471"/>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决定</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出具土地允许转让批复</w:t>
            </w:r>
          </w:p>
        </w:tc>
        <w:tc>
          <w:tcPr>
            <w:tcW w:w="1076" w:type="dxa"/>
            <w:gridSpan w:val="2"/>
            <w:vMerge/>
            <w:tcBorders>
              <w:tl2br w:val="nil"/>
              <w:tr2bl w:val="nil"/>
            </w:tcBorders>
            <w:shd w:val="clear" w:color="auto" w:fill="auto"/>
            <w:vAlign w:val="center"/>
          </w:tcP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lang w:eastAsia="zh-CN"/>
              </w:rPr>
              <w:t>县</w:t>
            </w:r>
            <w:r>
              <w:rPr>
                <w:rFonts w:ascii="仿宋_GB2312" w:eastAsia="仿宋_GB2312" w:cs="黑体" w:hAnsi="黑体" w:hint="eastAsia"/>
                <w:color w:val="000000"/>
                <w:sz w:val="18"/>
                <w:szCs w:val="18"/>
              </w:rPr>
              <w:t>资源规划局驻厅窗口</w:t>
            </w:r>
          </w:p>
        </w:tc>
      </w:tr>
      <w:tr>
        <w:trPr>
          <w:trHeight w:val="471"/>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办结</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Cs w:val="21"/>
              </w:rPr>
            </w:pPr>
            <w:r>
              <w:rPr>
                <w:rFonts w:ascii="仿宋_GB2312" w:eastAsia="仿宋_GB2312" w:cs="黑体" w:hAnsi="黑体" w:hint="eastAsia"/>
                <w:color w:val="000000"/>
                <w:sz w:val="18"/>
                <w:szCs w:val="18"/>
              </w:rPr>
              <w:t>送达相关文书</w:t>
            </w:r>
          </w:p>
        </w:tc>
        <w:tc>
          <w:tcPr>
            <w:tcW w:w="1076" w:type="dxa"/>
            <w:gridSpan w:val="2"/>
            <w:vMerge/>
            <w:tcBorders>
              <w:tl2br w:val="nil"/>
              <w:tr2bl w:val="nil"/>
            </w:tcBorders>
            <w:shd w:val="clear" w:color="auto" w:fill="auto"/>
            <w:vAlign w:val="center"/>
          </w:tcP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lang w:eastAsia="zh-CN"/>
              </w:rPr>
              <w:t>县</w:t>
            </w:r>
            <w:r>
              <w:rPr>
                <w:rFonts w:ascii="仿宋_GB2312" w:eastAsia="仿宋_GB2312" w:cs="黑体" w:hAnsi="黑体" w:hint="eastAsia"/>
                <w:color w:val="000000"/>
                <w:sz w:val="18"/>
                <w:szCs w:val="18"/>
              </w:rPr>
              <w:t>资源规划局驻厅窗口</w:t>
            </w:r>
          </w:p>
        </w:tc>
      </w:tr>
      <w:tr>
        <w:trPr>
          <w:trHeight w:val="383"/>
        </w:trPr>
        <w:tc>
          <w:tcPr>
            <w:tcW w:w="1389" w:type="dxa"/>
            <w:tcBorders>
              <w:tl2br w:val="nil"/>
              <w:tr2bl w:val="nil"/>
            </w:tcBorders>
            <w:shd w:val="clear" w:color="auto" w:fill="auto"/>
            <w:vAlign w:val="center"/>
          </w:tcPr>
          <w:p>
            <w:pPr>
              <w:jc w:val="center"/>
              <w:rPr>
                <w:rFonts w:ascii="黑体" w:eastAsia="黑体" w:hAnsi="黑体"/>
                <w:b/>
              </w:rPr>
            </w:pPr>
            <w:r>
              <w:rPr>
                <w:rFonts w:ascii="黑体" w:eastAsia="黑体" w:hAnsi="黑体" w:hint="eastAsia"/>
                <w:b/>
              </w:rPr>
              <w:t>办理渠道</w:t>
            </w:r>
          </w:p>
        </w:tc>
        <w:tc>
          <w:tcPr>
            <w:tcW w:w="4404" w:type="dxa"/>
            <w:gridSpan w:val="4"/>
            <w:tcBorders>
              <w:tl2br w:val="nil"/>
              <w:tr2bl w:val="nil"/>
            </w:tcBorders>
            <w:shd w:val="clear" w:color="auto" w:fill="auto"/>
            <w:vAlign w:val="center"/>
          </w:tcPr>
          <w:p>
            <w:pPr>
              <w:rPr>
                <w:rFonts w:ascii="仿宋_GB2312" w:eastAsia="仿宋_GB2312" w:cs="仿宋_GB2312"/>
                <w:kern w:val="0"/>
                <w:sz w:val="18"/>
                <w:szCs w:val="18"/>
              </w:rPr>
            </w:pPr>
            <w:r>
              <w:rPr>
                <w:rFonts w:ascii="仿宋_GB2312" w:eastAsia="仿宋_GB2312" w:cs="仿宋_GB2312" w:hint="eastAsia"/>
                <w:kern w:val="0"/>
                <w:sz w:val="18"/>
                <w:szCs w:val="18"/>
              </w:rPr>
              <w:t>现场办理</w:t>
            </w:r>
          </w:p>
        </w:tc>
        <w:tc>
          <w:tcPr>
            <w:tcW w:w="1480" w:type="dxa"/>
            <w:gridSpan w:val="2"/>
            <w:tcBorders>
              <w:tl2br w:val="nil"/>
              <w:tr2bl w:val="nil"/>
            </w:tcBorders>
            <w:shd w:val="clear" w:color="auto" w:fill="auto"/>
            <w:vAlign w:val="center"/>
          </w:tcPr>
          <w:p>
            <w:pPr>
              <w:jc w:val="center"/>
              <w:rPr>
                <w:rFonts w:ascii="仿宋_GB2312" w:eastAsia="仿宋_GB2312" w:cs="仿宋_GB2312"/>
                <w:kern w:val="0"/>
                <w:sz w:val="18"/>
                <w:szCs w:val="18"/>
              </w:rPr>
            </w:pPr>
            <w:r>
              <w:rPr>
                <w:rFonts w:ascii="黑体" w:eastAsia="黑体" w:cs="黑体" w:hint="eastAsia"/>
                <w:b/>
                <w:bCs/>
                <w:kern w:val="0"/>
                <w:szCs w:val="21"/>
              </w:rPr>
              <w:t>是否容缺办理</w:t>
            </w:r>
          </w:p>
        </w:tc>
        <w:tc>
          <w:tcPr>
            <w:tcW w:w="2503" w:type="dxa"/>
            <w:gridSpan w:val="3"/>
            <w:tcBorders>
              <w:tl2br w:val="nil"/>
              <w:tr2bl w:val="nil"/>
            </w:tcBorders>
            <w:shd w:val="clear" w:color="auto" w:fill="auto"/>
            <w:vAlign w:val="center"/>
          </w:tcPr>
          <w:p>
            <w:pPr>
              <w:jc w:val="center"/>
              <w:rPr>
                <w:rFonts w:ascii="仿宋_GB2312" w:eastAsia="仿宋_GB2312" w:cs="仿宋_GB2312"/>
                <w:kern w:val="0"/>
                <w:sz w:val="18"/>
                <w:szCs w:val="18"/>
              </w:rPr>
            </w:pPr>
            <w:r>
              <w:rPr>
                <w:rFonts w:ascii="仿宋_GB2312" w:eastAsia="仿宋_GB2312" w:cs="仿宋_GB2312" w:hint="eastAsia"/>
                <w:kern w:val="0"/>
                <w:sz w:val="18"/>
                <w:szCs w:val="18"/>
              </w:rPr>
              <w:t>否</w:t>
            </w:r>
          </w:p>
        </w:tc>
      </w:tr>
      <w:tr>
        <w:trPr>
          <w:trHeight w:val="4401"/>
        </w:trPr>
        <w:tc>
          <w:tcPr>
            <w:tcW w:w="1389"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ascii="黑体" w:eastAsia="黑体" w:cs="黑体" w:hint="eastAsia"/>
                <w:b/>
                <w:bCs/>
                <w:kern w:val="0"/>
                <w:szCs w:val="21"/>
              </w:rPr>
              <w:t>所需资料</w:t>
            </w:r>
          </w:p>
        </w:tc>
        <w:tc>
          <w:tcPr>
            <w:tcW w:w="8387" w:type="dxa"/>
            <w:gridSpan w:val="9"/>
            <w:tcBorders>
              <w:tl2br w:val="nil"/>
              <w:tr2bl w:val="nil"/>
            </w:tcBorders>
            <w:shd w:val="clear" w:color="auto" w:fill="auto"/>
            <w:vAlign w:val="center"/>
          </w:tcPr>
          <w:p>
            <w:pPr>
              <w:widowControl/>
              <w:spacing w:line="240" w:lineRule="exact"/>
              <w:jc w:val="left"/>
              <w:textAlignment w:val="center"/>
              <w:rPr>
                <w:rStyle w:val="18"/>
                <w:color w:val="auto"/>
              </w:rPr>
            </w:pPr>
            <w:r>
              <w:rPr>
                <w:rStyle w:val="18"/>
                <w:rFonts w:hint="eastAsia"/>
                <w:color w:val="auto"/>
              </w:rPr>
              <w:t>1、国有土地使用权转让申请书。</w:t>
            </w:r>
          </w:p>
          <w:p>
            <w:pPr>
              <w:widowControl/>
              <w:spacing w:line="240" w:lineRule="exact"/>
              <w:jc w:val="left"/>
              <w:textAlignment w:val="center"/>
              <w:rPr>
                <w:rStyle w:val="18"/>
                <w:color w:val="auto"/>
              </w:rPr>
            </w:pPr>
            <w:r>
              <w:rPr>
                <w:rStyle w:val="18"/>
                <w:rFonts w:hint="eastAsia"/>
                <w:color w:val="auto"/>
              </w:rPr>
              <w:t>2、原不动产登记证书或土地证、房产证原件及复印件（在建工程需提供发改</w:t>
            </w:r>
            <w:r>
              <w:rPr>
                <w:rStyle w:val="18"/>
                <w:color w:val="auto"/>
              </w:rPr>
              <w:t>委</w:t>
            </w:r>
            <w:r>
              <w:rPr>
                <w:rStyle w:val="18"/>
                <w:rFonts w:hint="eastAsia"/>
                <w:color w:val="auto"/>
              </w:rPr>
              <w:t>投资批复、用地规划许可证、工程规划许可证、建设工程施工许可证复印件；投资情况证明原件；在建工程造价评审报告原件）；房屋网签合同原件及复印件（房屋未建成的提供转让双方的合同或协议）。</w:t>
            </w:r>
          </w:p>
          <w:p>
            <w:pPr>
              <w:widowControl/>
              <w:spacing w:line="240" w:lineRule="exact"/>
              <w:jc w:val="left"/>
              <w:textAlignment w:val="center"/>
              <w:rPr>
                <w:rStyle w:val="18"/>
                <w:color w:val="auto"/>
              </w:rPr>
            </w:pPr>
            <w:r>
              <w:rPr>
                <w:rStyle w:val="18"/>
                <w:rFonts w:hint="eastAsia"/>
                <w:color w:val="auto"/>
              </w:rPr>
              <w:t>3、土地权属来源文件（原出让合同书复印件）。</w:t>
            </w:r>
          </w:p>
          <w:p>
            <w:pPr>
              <w:widowControl/>
              <w:spacing w:line="240" w:lineRule="exact"/>
              <w:jc w:val="left"/>
              <w:textAlignment w:val="center"/>
              <w:rPr>
                <w:rStyle w:val="18"/>
                <w:color w:val="auto"/>
              </w:rPr>
            </w:pPr>
            <w:r>
              <w:rPr>
                <w:rStyle w:val="18"/>
                <w:rFonts w:hint="eastAsia"/>
                <w:color w:val="auto"/>
              </w:rPr>
              <w:t>4、转让双方签订的《秦皇岛市国有土地使用权转让合同书》。</w:t>
            </w:r>
          </w:p>
          <w:p>
            <w:pPr>
              <w:widowControl/>
              <w:spacing w:line="240" w:lineRule="exact"/>
              <w:jc w:val="left"/>
              <w:textAlignment w:val="center"/>
              <w:rPr>
                <w:rStyle w:val="18"/>
                <w:color w:val="auto"/>
              </w:rPr>
            </w:pPr>
            <w:r>
              <w:rPr>
                <w:rStyle w:val="18"/>
                <w:rFonts w:hint="eastAsia"/>
                <w:color w:val="auto"/>
              </w:rPr>
              <w:t>5、转让双方身份证明材料（转让双方的营业执照（组织机构代码证）复印件、转让双方的法定代表人身份证明原件及身份证复印件、转让双方的授权委托书原件及受托人身份证复印件）。个人需提供身份证、户口本原件及复印件。</w:t>
            </w:r>
          </w:p>
          <w:p>
            <w:pPr>
              <w:widowControl/>
              <w:spacing w:line="240" w:lineRule="exact"/>
              <w:jc w:val="left"/>
              <w:textAlignment w:val="center"/>
              <w:rPr>
                <w:rStyle w:val="18"/>
                <w:color w:val="auto"/>
              </w:rPr>
            </w:pPr>
            <w:r>
              <w:rPr>
                <w:rStyle w:val="18"/>
                <w:rFonts w:hint="eastAsia"/>
                <w:color w:val="auto"/>
              </w:rPr>
              <w:t>6、新测量的</w:t>
            </w:r>
            <w:r>
              <w:rPr>
                <w:rStyle w:val="18"/>
                <w:color w:val="auto"/>
              </w:rPr>
              <w:t>总</w:t>
            </w:r>
            <w:bookmarkStart w:id="0" w:name="_GoBack"/>
            <w:bookmarkEnd w:id="0"/>
            <w:r>
              <w:rPr>
                <w:rStyle w:val="18"/>
                <w:rFonts w:hint="eastAsia"/>
                <w:color w:val="auto"/>
              </w:rPr>
              <w:t>地图。</w:t>
            </w:r>
          </w:p>
          <w:p>
            <w:pPr>
              <w:widowControl/>
              <w:spacing w:line="240" w:lineRule="exact"/>
              <w:jc w:val="left"/>
              <w:textAlignment w:val="center"/>
              <w:rPr>
                <w:rStyle w:val="18"/>
                <w:color w:val="auto"/>
              </w:rPr>
            </w:pPr>
            <w:r>
              <w:rPr>
                <w:rStyle w:val="18"/>
                <w:rFonts w:hint="eastAsia"/>
                <w:color w:val="auto"/>
              </w:rPr>
              <w:t>7、土地评估报告原件。</w:t>
            </w:r>
          </w:p>
          <w:p>
            <w:pPr>
              <w:widowControl/>
              <w:spacing w:line="240" w:lineRule="exact"/>
              <w:jc w:val="left"/>
              <w:textAlignment w:val="center"/>
              <w:rPr>
                <w:rStyle w:val="18"/>
                <w:color w:val="auto"/>
              </w:rPr>
            </w:pPr>
            <w:r>
              <w:rPr>
                <w:rStyle w:val="18"/>
                <w:rFonts w:hint="eastAsia"/>
                <w:color w:val="auto"/>
              </w:rPr>
              <w:t>8、企事业单位除提交营业执照（组织机构代码证）外，涉及国有企事业单位还需要提交上级主管部门同意转让的批准文件原件，改制后的国有企业，需提交企业监管部门、市国资委和市人社部门同意转让的批准文件原件（先由企业监管部门依据人社部门出具的职工安置情况、社会保险费缴纳情况提出初步意见，分别报请市国资委和人社部门审核并出具处理意见）；股份制、三资企业提交董事会或股东会同意转让的文件原件并提供董事或股东情况。</w:t>
            </w:r>
          </w:p>
          <w:p>
            <w:pPr>
              <w:widowControl/>
              <w:spacing w:line="240" w:lineRule="exact"/>
              <w:jc w:val="left"/>
              <w:textAlignment w:val="center"/>
              <w:rPr>
                <w:rStyle w:val="18"/>
                <w:color w:val="auto"/>
              </w:rPr>
            </w:pPr>
            <w:r>
              <w:rPr>
                <w:rStyle w:val="18"/>
                <w:rFonts w:hint="eastAsia"/>
                <w:color w:val="auto"/>
              </w:rPr>
              <w:t>9、涉及协助法院执行、拍卖的，需提交生效的法律文书及协助执行通知书、委托拍卖合同及成交确认书。</w:t>
            </w:r>
          </w:p>
          <w:p>
            <w:pPr>
              <w:widowControl/>
              <w:spacing w:line="240" w:lineRule="exact"/>
              <w:jc w:val="left"/>
              <w:textAlignment w:val="center"/>
              <w:rPr>
                <w:rStyle w:val="18"/>
                <w:color w:val="auto"/>
              </w:rPr>
            </w:pPr>
            <w:r>
              <w:rPr>
                <w:rStyle w:val="18"/>
                <w:rFonts w:hint="eastAsia"/>
                <w:color w:val="auto"/>
              </w:rPr>
              <w:t>10、法律、法规、规章规定的其他材料。</w:t>
            </w:r>
          </w:p>
        </w:tc>
      </w:tr>
      <w:tr>
        <w:trPr>
          <w:trHeight w:val="2957"/>
        </w:trPr>
        <w:tc>
          <w:tcPr>
            <w:tcW w:w="1389"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387"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1.对符合法定条件的行政许可申请不予受理、不予行政许可或者不在法定期限内作出准予行政许可决定的。</w:t>
              <w:br/>
              <w:t>2.对不符合法定条件的申请人准予行政许可或者超越法定职权作出准予行政许可决定的。3.对符合法定条件的行政许可申请不予受理的。</w:t>
              <w:br/>
              <w:t>4.在受理、审查、决定行政许可过程中，未向申请人、利害关系人履行法定告知义务或不一次告知申请人必须补正的全部内容的；未依法说明不受理行政许可申请或者不予行政许可的理由的。</w:t>
              <w:br/>
              <w:t>5.在办理行政许可、实施监督检查过程中，索取或者收受他人财物或者</w:t>
            </w:r>
            <w:r>
              <w:rPr>
                <w:rFonts w:ascii="仿宋_GB2312" w:eastAsia="仿宋_GB2312" w:cs="仿宋_GB2312" w:hAnsi="仿宋_GB2312"/>
                <w:kern w:val="0"/>
                <w:sz w:val="18"/>
                <w:szCs w:val="18"/>
              </w:rPr>
              <w:t>牟</w:t>
            </w:r>
            <w:r>
              <w:rPr>
                <w:rFonts w:ascii="仿宋_GB2312" w:eastAsia="仿宋_GB2312" w:cs="仿宋_GB2312" w:hAnsi="仿宋_GB2312" w:hint="eastAsia"/>
                <w:kern w:val="0"/>
                <w:sz w:val="18"/>
                <w:szCs w:val="18"/>
              </w:rPr>
              <w:t>取其他利益的；擅自收费或者不按照法定项目和标准收费的；截留、挪用、私分或者变相私分实施行政许可依法收取的费用的。</w:t>
              <w:br/>
              <w:t>6.违法实施行政许可，给当事人的合法权益造成损害的。</w:t>
              <w:br/>
              <w:t>7.不依法履行监督职责或者监督不力，造成严重后果的。</w:t>
            </w:r>
          </w:p>
          <w:p>
            <w:pPr>
              <w:spacing w:line="240" w:lineRule="exact"/>
              <w:rPr>
                <w:rFonts w:ascii="黑体" w:eastAsia="黑体" w:cs="黑体"/>
                <w:color w:val="000000"/>
                <w:szCs w:val="21"/>
              </w:rPr>
            </w:pPr>
            <w:r>
              <w:rPr>
                <w:rFonts w:ascii="仿宋_GB2312" w:eastAsia="仿宋_GB2312" w:cs="仿宋_GB2312" w:hAnsi="仿宋_GB2312" w:hint="eastAsia"/>
                <w:kern w:val="0"/>
                <w:sz w:val="18"/>
                <w:szCs w:val="18"/>
              </w:rPr>
              <w:t>8.自然资源行政主管部门的工作人员玩忽职守、滥用职权，构成犯罪的。</w:t>
              <w:br/>
              <w:t>9.对违反土地二级市场相关规定的地方政府和有关部门、单位以及责任人员严格实行责任追究，坚决打击各种腐败行为。</w:t>
            </w:r>
          </w:p>
        </w:tc>
      </w:tr>
      <w:tr>
        <w:trPr>
          <w:trHeight w:val="792"/>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387"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黑体" w:hAnsi="黑体" w:hint="eastAsia"/>
                <w:color w:val="000000"/>
                <w:kern w:val="0"/>
                <w:sz w:val="18"/>
                <w:szCs w:val="18"/>
              </w:rPr>
              <w:t>1</w:t>
            </w:r>
            <w:r>
              <w:rPr>
                <w:rFonts w:ascii="仿宋_GB2312" w:eastAsia="仿宋_GB2312" w:cs="黑体" w:hAnsi="黑体" w:hint="eastAsia"/>
                <w:color w:val="000000"/>
                <w:kern w:val="0"/>
                <w:sz w:val="18"/>
                <w:szCs w:val="18"/>
                <w:lang w:eastAsia="zh-CN"/>
              </w:rPr>
              <w:t>、</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2861836</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黑体" w:eastAsia="仿宋_GB2312" w:cs="黑体" w:hAnsi="黑体"/>
                <w:color w:val="000000"/>
                <w:sz w:val="24"/>
                <w:lang w:val="en-US" w:eastAsia="zh-CN"/>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383"/>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387" w:type="dxa"/>
            <w:gridSpan w:val="9"/>
            <w:tcBorders>
              <w:tl2br w:val="nil"/>
              <w:tr2bl w:val="nil"/>
            </w:tcBorders>
            <w:shd w:val="clear" w:color="auto" w:fill="auto"/>
            <w:vAlign w:val="center"/>
          </w:tcPr>
          <w:p>
            <w:pPr>
              <w:widowControl/>
              <w:jc w:val="left"/>
              <w:textAlignment w:val="center"/>
              <w:rPr>
                <w:rFonts w:ascii="黑体" w:eastAsia="黑体" w:cs="黑体"/>
                <w:b/>
                <w:bCs/>
                <w:color w:val="000000"/>
                <w:szCs w:val="21"/>
              </w:rPr>
            </w:pPr>
          </w:p>
        </w:tc>
      </w:tr>
      <w:tr>
        <w:trPr>
          <w:trHeight w:val="406"/>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387"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jc w:val="center"/>
        <w:rPr>
          <w:rFonts w:ascii="方正小标宋简体" w:eastAsia="方正小标宋简体" w:cs="方正小标宋简体" w:hAnsi="方正小标宋简体"/>
          <w:sz w:val="44"/>
          <w:szCs w:val="44"/>
        </w:rPr>
      </w:pPr>
    </w:p>
    <w:sectPr>
      <w:pgSz w:w="11906" w:h="16838"/>
      <w:pgMar w:top="964" w:right="1797" w:bottom="851" w:left="1797" w:header="851" w:footer="992" w:gutter="0"/>
      <w:cols w:num="1" w:space="72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character" w:customStyle="1" w:styleId="18">
    <w:name w:val="font112"/>
    <w:basedOn w:val="10"/>
    <w:rPr>
      <w:rFonts w:ascii="仿宋_GB2312" w:eastAsia="仿宋_GB2312" w:cs="仿宋_GB2312"/>
      <w:color w:val="000000"/>
      <w:sz w:val="18"/>
      <w:szCs w:val="18"/>
      <w:u w:val="none"/>
    </w:rPr>
  </w:style>
  <w:style w:type="paragraph" w:styleId="19">
    <w:name w:val="List Paragraph"/>
    <w:basedOn w:val="0"/>
    <w:pPr>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844EBFA8-34C2-4075-AEA9-AAF52BB5A0AE}">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4</TotalTime>
  <Application>Yozo_Office27021597764231179</Application>
  <Pages>2</Pages>
  <Words>0</Words>
  <Characters>1237</Characters>
  <Lines>0</Lines>
  <Paragraphs>3</Paragraphs>
  <CharactersWithSpaces>1650</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xb21cn</dc:creator>
  <cp:lastModifiedBy>hp</cp:lastModifiedBy>
  <cp:revision>7</cp:revision>
  <cp:lastPrinted>2023-08-15T01:13:00Z</cp:lastPrinted>
  <dcterms:created xsi:type="dcterms:W3CDTF">2023-10-13T00:19:00Z</dcterms:created>
  <dcterms:modified xsi:type="dcterms:W3CDTF">2024-09-27T03:35:53Z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ADE5CF1003994D6D9CFBE6600370964E_13</vt:lpwstr>
  </property>
</Properties>
</file>