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870" w:type="dxa"/>
            <w:gridSpan w:val="2"/>
            <w:tcBorders>
              <w:tl2br w:val="nil"/>
              <w:tr2bl w:val="nil"/>
            </w:tcBorders>
            <w:shd w:val="clear" w:color="auto" w:fill="auto"/>
            <w:vAlign w:val="center"/>
          </w:tcPr>
          <w:p>
            <w:pPr>
              <w:jc w:val="center"/>
              <w:rPr>
                <w:rFonts w:ascii="黑体" w:eastAsia="黑体" w:cs="黑体"/>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val="31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_GB2312" w:eastAsia="仿宋_GB2312" w:cs="仿宋_GB2312" w:hAnsi="宋体"/>
                <w:i w:val="0"/>
                <w:color w:val="000000"/>
                <w:kern w:val="2"/>
                <w:sz w:val="20"/>
                <w:szCs w:val="20"/>
                <w:u w:val="none"/>
                <w:lang w:val="en-US" w:eastAsia="zh-CN" w:bidi="ar-SA"/>
              </w:rPr>
            </w:pPr>
            <w:r>
              <w:rPr>
                <w:rFonts w:ascii="仿宋_GB2312" w:eastAsia="仿宋_GB2312" w:cs="仿宋_GB2312" w:hAnsi="宋体"/>
                <w:i w:val="0"/>
                <w:color w:val="000000"/>
                <w:kern w:val="0"/>
                <w:sz w:val="20"/>
                <w:szCs w:val="20"/>
                <w:u w:val="none"/>
                <w:lang w:val="en-US" w:eastAsia="zh-CN"/>
              </w:rPr>
              <w:t>对转让房地产时未经批准，非法转让以划拨方式取得的土地使用权的，或者经过批准转让以划拨方式取得的土地使用权，但未按规定缴纳土地使用权出让金的行政处罚</w:t>
            </w:r>
          </w:p>
        </w:tc>
      </w:tr>
      <w:tr>
        <w:trPr>
          <w:trHeight w:val="40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jc w:val="center"/>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20"/>
                <w:szCs w:val="20"/>
                <w:u w:val="none"/>
                <w:lang w:val="en-US" w:eastAsia="zh-CN"/>
              </w:rPr>
              <w:t>昌黎县自然资源和规划局</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keepNext w:val="0"/>
              <w:keepLines w:val="0"/>
              <w:widowControl/>
              <w:suppressLineNumbers w:val="0"/>
              <w:jc w:val="both"/>
              <w:textAlignment w:val="center"/>
              <w:rPr>
                <w:rFonts w:ascii="仿宋_GB2312" w:eastAsia="仿宋_GB2312" w:cs="仿宋_GB2312" w:hAnsi="宋体" w:hint="eastAsia"/>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中华人民共和国城市房地产管理法》（1994年7月通过，2019年8月修正）第四十条：“以划拨方式取得土地使用权的，转让房地产时，应当按照国务院规定，报有批准权的人民政府审批。有批准权的人民政府准予转让的，应当由受让方办理土地使用权出让手续，并依照国家有关规定缴纳土地使用权出让金。”第六十七条：“违反本法第四十条第一款的规定转让房地产的，由县级以上人民政府土地管理部门责令缴纳土地使用权出让金，没收违法所得，可以并处罚款。”《城市房地产开发经营管理条例》（1998年7月国务院令第248号，2020年11月国务院令第732号修订）第三十五条：“违反本条例规定，擅自转让房地产开发项目的，由县级以上人民政府负责土地管理工作的部门责令停止违法行为，没收违法所得，可以并处违法所得5倍以下的罚款。”</w:t>
            </w:r>
          </w:p>
          <w:p>
            <w:pPr>
              <w:keepNext w:val="0"/>
              <w:keepLines w:val="0"/>
              <w:widowControl/>
              <w:suppressLineNumbers w:val="0"/>
              <w:jc w:val="both"/>
              <w:textAlignment w:val="center"/>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仿宋_GB2312" w:eastAsia="仿宋_GB2312" w:cs="黑体"/>
                <w:b/>
                <w:bCs/>
                <w:color w:val="000000"/>
                <w:szCs w:val="21"/>
              </w:rPr>
            </w:pPr>
            <w:r>
              <w:rPr>
                <w:rFonts w:ascii="仿宋_GB2312" w:eastAsia="仿宋_GB2312" w:cs="黑体" w:hAnsi="黑体" w:hint="eastAsia"/>
                <w:color w:val="000000"/>
                <w:kern w:val="2"/>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hRule="exact" w:val="721"/>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立案</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vAlign w:val="center"/>
          </w:tcPr>
          <w:p>
            <w:pPr>
              <w:jc w:val="cente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调查取证</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审查</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制作事先告知书（听证告知书）、处罚决定书</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送达</w:t>
            </w:r>
          </w:p>
        </w:tc>
        <w:tc>
          <w:tcPr>
            <w:tcW w:w="5557" w:type="dxa"/>
            <w:gridSpan w:val="4"/>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471" w:type="dxa"/>
            <w:tcBorders>
              <w:tl2br w:val="nil"/>
              <w:tr2bl w:val="nil"/>
            </w:tcBorders>
            <w:shd w:val="clear" w:color="auto" w:fill="auto"/>
          </w:tcPr>
          <w:p>
            <w:pPr>
              <w:rPr>
                <w:rFonts w:ascii="仿宋_GB2312" w:eastAsia="仿宋_GB2312" w:cs="黑体" w:hAnsi="黑体" w:hint="eastAsia"/>
                <w:color w:val="000000"/>
                <w:sz w:val="18"/>
                <w:szCs w:val="18"/>
              </w:rPr>
            </w:pPr>
            <w:r>
              <w:rPr>
                <w:rFonts w:ascii="仿宋_GB2312" w:eastAsia="仿宋_GB2312" w:cs="黑体" w:hAnsi="黑体" w:hint="eastAsia"/>
                <w:color w:val="000000"/>
                <w:sz w:val="18"/>
                <w:szCs w:val="18"/>
              </w:rPr>
              <w:t>执法监察大队、</w:t>
            </w:r>
          </w:p>
          <w:p>
            <w:r>
              <w:rPr>
                <w:rFonts w:ascii="仿宋_GB2312" w:eastAsia="仿宋_GB2312" w:cs="黑体" w:hAnsi="黑体" w:hint="eastAsia"/>
                <w:color w:val="000000"/>
                <w:sz w:val="18"/>
                <w:szCs w:val="18"/>
              </w:rPr>
              <w:t>黄金海岸分局</w:t>
            </w:r>
          </w:p>
        </w:tc>
      </w:tr>
      <w:tr>
        <w:trPr>
          <w:trHeight w:val="2886"/>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widowControl/>
              <w:suppressLineNumbers w:val="0"/>
              <w:adjustRightInd/>
              <w:snapToGrid/>
              <w:spacing w:after="0" w:line="240" w:lineRule="auto"/>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widowControl/>
              <w:suppressLineNumbers w:val="0"/>
              <w:adjustRightInd/>
              <w:snapToGrid/>
              <w:spacing w:after="0" w:line="240" w:lineRule="auto"/>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63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392" w:type="dxa"/>
            <w:tcBorders>
              <w:tl2br w:val="nil"/>
              <w:tr2bl w:val="nil"/>
            </w:tcBorders>
            <w:shd w:val="clear" w:color="auto" w:fill="auto"/>
            <w:vAlign w:val="center"/>
          </w:tcPr>
          <w:p>
            <w:pPr>
              <w:widowControl/>
              <w:adjustRightInd/>
              <w:snapToGrid/>
              <w:spacing w:after="0" w:line="240" w:lineRule="auto"/>
              <w:jc w:val="left"/>
              <w:textAlignment w:val="center"/>
              <w:rPr>
                <w:rFonts w:ascii="仿宋_GB2312" w:eastAsia="仿宋_GB2312" w:cs="仿宋_GB2312" w:hAnsi="Calibri" w:hint="eastAsia"/>
                <w:color w:val="000000"/>
                <w:kern w:val="0"/>
                <w:sz w:val="18"/>
                <w:szCs w:val="18"/>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widowControl/>
              <w:adjustRightInd/>
              <w:snapToGrid/>
              <w:spacing w:after="0" w:line="240" w:lineRule="auto"/>
              <w:jc w:val="left"/>
              <w:textAlignment w:val="center"/>
              <w:rPr>
                <w:rFonts w:ascii="仿宋_GB2312" w:eastAsia="仿宋_GB2312" w:cs="仿宋_GB2312" w:hAnsi="Calibri" w:hint="eastAsia"/>
                <w:color w:val="000000"/>
                <w:kern w:val="0"/>
                <w:sz w:val="18"/>
                <w:szCs w:val="18"/>
              </w:rPr>
            </w:pPr>
            <w:r>
              <w:rPr>
                <w:rFonts w:ascii="仿宋_GB2312" w:eastAsia="仿宋_GB2312" w:cs="仿宋_GB2312" w:hAnsi="Calibri" w:hint="eastAsia"/>
                <w:color w:val="000000"/>
                <w:kern w:val="0"/>
                <w:sz w:val="18"/>
                <w:szCs w:val="18"/>
              </w:rPr>
              <w:t>1．不服许可决定自知道该具体行政行为之日起六十日内</w:t>
            </w:r>
            <w:r>
              <w:rPr>
                <w:rFonts w:ascii="仿宋_GB2312" w:eastAsia="仿宋_GB2312" w:cs="仿宋_GB2312" w:hAnsi="Calibri"/>
                <w:color w:val="000000"/>
                <w:kern w:val="0"/>
                <w:sz w:val="18"/>
                <w:szCs w:val="18"/>
              </w:rPr>
              <w:t>向</w:t>
            </w:r>
            <w:bookmarkStart w:id="0" w:name="_GoBack"/>
            <w:bookmarkEnd w:id="0"/>
            <w:r>
              <w:rPr>
                <w:rFonts w:ascii="仿宋_GB2312" w:eastAsia="仿宋_GB2312" w:cs="仿宋_GB2312" w:hAnsi="Calibri" w:hint="eastAsia"/>
                <w:color w:val="000000"/>
                <w:kern w:val="0"/>
                <w:sz w:val="18"/>
                <w:szCs w:val="18"/>
                <w:lang w:eastAsia="zh-CN"/>
              </w:rPr>
              <w:t>县</w:t>
            </w:r>
            <w:r>
              <w:rPr>
                <w:rFonts w:ascii="仿宋_GB2312" w:eastAsia="仿宋_GB2312" w:cs="仿宋_GB2312" w:hAnsi="Calibri" w:hint="eastAsia"/>
                <w:color w:val="000000"/>
                <w:kern w:val="0"/>
                <w:sz w:val="18"/>
                <w:szCs w:val="18"/>
              </w:rPr>
              <w:t>政府申请行政复议。</w:t>
            </w:r>
          </w:p>
          <w:p>
            <w:pPr>
              <w:widowControl/>
              <w:adjustRightInd/>
              <w:snapToGrid/>
              <w:spacing w:after="0" w:line="240" w:lineRule="auto"/>
              <w:jc w:val="left"/>
              <w:textAlignment w:val="center"/>
              <w:rPr>
                <w:rFonts w:ascii="仿宋_GB2312" w:eastAsia="仿宋_GB2312" w:cs="仿宋_GB2312" w:hAnsi="Calibri" w:hint="eastAsia"/>
                <w:color w:val="000000"/>
                <w:kern w:val="0"/>
                <w:sz w:val="18"/>
                <w:szCs w:val="18"/>
              </w:rPr>
            </w:pPr>
            <w:r>
              <w:rPr>
                <w:rFonts w:ascii="仿宋_GB2312" w:eastAsia="仿宋_GB2312" w:cs="仿宋_GB2312" w:hAnsi="Calibri" w:hint="eastAsia"/>
                <w:color w:val="000000"/>
                <w:kern w:val="0"/>
                <w:sz w:val="18"/>
                <w:szCs w:val="18"/>
              </w:rPr>
              <w:t>2．不服许可决定应当自知道或者应当知道作出行政行为之日起六个月内提出向</w:t>
            </w:r>
            <w:r>
              <w:rPr>
                <w:rFonts w:ascii="仿宋_GB2312" w:eastAsia="仿宋_GB2312" w:cs="仿宋_GB2312" w:hAnsi="Calibri" w:hint="eastAsia"/>
                <w:color w:val="000000"/>
                <w:kern w:val="0"/>
                <w:sz w:val="18"/>
                <w:szCs w:val="18"/>
                <w:lang w:eastAsia="zh-CN"/>
              </w:rPr>
              <w:t>昌黎县</w:t>
            </w:r>
            <w:r>
              <w:rPr>
                <w:rFonts w:ascii="仿宋_GB2312" w:eastAsia="仿宋_GB2312" w:cs="仿宋_GB2312" w:hAnsi="Calibri" w:hint="eastAsia"/>
                <w:color w:val="000000"/>
                <w:kern w:val="0"/>
                <w:sz w:val="18"/>
                <w:szCs w:val="18"/>
              </w:rPr>
              <w:t>人民法院提起行政诉讼。</w:t>
            </w:r>
          </w:p>
        </w:tc>
      </w:tr>
      <w:tr>
        <w:trPr>
          <w:trHeight w:val="228"/>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仿宋">
    <w:panose1 w:val="02010609060101010101"/>
    <w:charset w:val="86"/>
    <w:family w:val="auto"/>
    <w:pitch w:val="variable"/>
    <w:sig w:usb0="800002BF" w:usb1="38CF7CFA" w:usb2="00000016" w:usb3="00000000" w:csb0="00040001" w:csb1="00000000"/>
  </w:font>
  <w:font w:name="Calibri">
    <w:panose1 w:val="020F0502020204030204"/>
    <w:charset w:val="00"/>
    <w:family w:val="swiss"/>
    <w:pitch w:val="variable"/>
    <w:sig w:usb0="E00002FF" w:usb1="4000ACFF" w:usb2="00000001" w:usb3="00000000" w:csb0="2000019F"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A1884C2E-0B03-43A4-A79D-3BF29AE5EA1D}">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7</TotalTime>
  <Application>Yozo_Office27021597764231179</Application>
  <Pages>2</Pages>
  <Words>0</Words>
  <Characters>999</Characters>
  <Lines>0</Lines>
  <Paragraphs>3</Paragraphs>
  <CharactersWithSpaces>1332</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2024-09-27T07:35:55Z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60DE521FAD1649ABB3FC411D0DE35728_12</vt:lpwstr>
  </property>
</Properties>
</file>