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870" w:type="dxa"/>
            <w:gridSpan w:val="2"/>
            <w:tcBorders>
              <w:tl2br w:val="nil"/>
              <w:tr2bl w:val="nil"/>
            </w:tcBorders>
            <w:shd w:val="clear" w:color="auto" w:fill="auto"/>
            <w:vAlign w:val="center"/>
          </w:tcPr>
          <w:p>
            <w:pPr>
              <w:jc w:val="center"/>
              <w:rPr>
                <w:rFonts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31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仿宋_GB2312" w:hAnsi="宋体"/>
                <w:i w:val="0"/>
                <w:color w:val="000000"/>
                <w:kern w:val="2"/>
                <w:sz w:val="20"/>
                <w:szCs w:val="20"/>
                <w:u w:val="none"/>
                <w:lang w:val="en-US" w:eastAsia="zh-CN" w:bidi="ar-SA"/>
              </w:rPr>
            </w:pPr>
            <w:r>
              <w:rPr>
                <w:rFonts w:ascii="仿宋_GB2312" w:eastAsia="仿宋_GB2312" w:cs="仿宋_GB2312" w:hAnsi="宋体"/>
                <w:i w:val="0"/>
                <w:color w:val="000000"/>
                <w:kern w:val="0"/>
                <w:sz w:val="20"/>
                <w:szCs w:val="20"/>
                <w:u w:val="none"/>
                <w:lang w:val="en-US" w:eastAsia="zh-CN"/>
              </w:rPr>
              <w:t>对建设项目施工和地质勘查临时占用耕地的土地使用者，自临时用地期满之日起1年以上未恢复种植条件的行政处罚</w:t>
            </w:r>
          </w:p>
        </w:tc>
      </w:tr>
      <w:tr>
        <w:trPr>
          <w:trHeight w:val="40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jc w:val="both"/>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20"/>
                <w:szCs w:val="20"/>
                <w:u w:val="none"/>
                <w:lang w:val="en-US" w:eastAsia="zh-CN"/>
              </w:rPr>
              <w:t>市级以上重点项目、跨乡镇区违法用地案件、黄金海岸北区由自然资源和规划局负责；其他区域由各乡镇（南区）政府负责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FF0000"/>
                <w:kern w:val="0"/>
                <w:sz w:val="18"/>
                <w:szCs w:val="18"/>
              </w:rPr>
            </w:pPr>
            <w:r>
              <w:rPr>
                <w:rFonts w:ascii="仿宋_GB2312" w:eastAsia="仿宋_GB2312" w:cs="黑体" w:hAnsi="黑体" w:hint="eastAsia"/>
                <w:color w:val="000000"/>
                <w:kern w:val="2"/>
                <w:sz w:val="18"/>
                <w:szCs w:val="18"/>
              </w:rPr>
              <w:t>《中华人民共和国土地管理法》（1986年6月通过，2019年8月修正）第五十七条：“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临时使用土地的使用者应当按照临时使用土地合同约定的用途使用土地，并不得修建永久性建筑物。临时使用土地期限一般不超过二年。”《中华人民共和国土地管理法实施条例》（1998年12月国务院令第256号，2021年7月国务院令第743号第三次修订）第二十条：“建设项目施工、地质勘查需要临时使用土地的，应当尽量不占或者少占耕地。临时用地由县级以上人民政府自然资源主管部门批准，期限一般不超过二年；建设周期较长的能源、交通、水利等基础设施建设使用的临时用地，期限不超过四年；法律、行政法规另有规定的除外。土地使用者应当自临时用地期满之日起一年内完成土地复垦，使其达到可供利用状态，其中占用耕地的应当恢复种植条件。”                        第五十二条：“违反《</w:t>
            </w:r>
            <w:r>
              <w:rPr>
                <w:rFonts w:ascii="仿宋_GB2312" w:eastAsia="仿宋_GB2312" w:cs="黑体" w:hAnsi="黑体"/>
                <w:color w:val="000000"/>
                <w:kern w:val="2"/>
                <w:sz w:val="18"/>
                <w:szCs w:val="18"/>
              </w:rPr>
              <w:t>中华人民共和国</w:t>
            </w:r>
            <w:bookmarkStart w:id="0" w:name="_GoBack"/>
            <w:bookmarkEnd w:id="0"/>
            <w:r>
              <w:rPr>
                <w:rFonts w:ascii="仿宋_GB2312" w:eastAsia="仿宋_GB2312" w:cs="黑体" w:hAnsi="黑体" w:hint="eastAsia"/>
                <w:color w:val="000000"/>
                <w:kern w:val="2"/>
                <w:sz w:val="18"/>
                <w:szCs w:val="18"/>
              </w:rPr>
              <w:t xml:space="preserve">土地管理法》第五十七条的规定，在临时使用的土地上修建永久性建筑物的，由县级以上人民政府自然资源主管部门责令限期拆除，按占用面积处土地复垦费5倍以上10倍以下的罚款；逾期不拆除的，由作出行政决定的机关依法申请人民法院强制执行。” </w:t>
            </w:r>
            <w:r>
              <w:rPr>
                <w:rFonts w:ascii="仿宋_GB2312" w:eastAsia="仿宋_GB2312" w:cs="黑体" w:hAnsi="Calibri" w:hint="eastAsia"/>
                <w:color w:val="FF0000"/>
                <w:kern w:val="0"/>
                <w:sz w:val="18"/>
                <w:szCs w:val="18"/>
              </w:rPr>
              <w:t xml:space="preserve"> </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黑体" w:hint="eastAsia"/>
                <w:color w:val="000000"/>
                <w:kern w:val="2"/>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983"/>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636"/>
        </w:trPr>
        <w:tc>
          <w:tcPr>
            <w:tcW w:w="13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监督方式</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1．不服许可决定自知道该具体行政行为之日起六十日内向</w:t>
            </w:r>
            <w:r>
              <w:rPr>
                <w:rFonts w:ascii="仿宋_GB2312" w:eastAsia="仿宋_GB2312" w:cs="黑体" w:hAnsi="黑体" w:hint="eastAsia"/>
                <w:color w:val="000000"/>
                <w:kern w:val="0"/>
                <w:sz w:val="18"/>
                <w:szCs w:val="18"/>
                <w:lang w:eastAsia="zh-CN"/>
              </w:rPr>
              <w:t>县</w:t>
            </w:r>
            <w:r>
              <w:rPr>
                <w:rFonts w:ascii="仿宋_GB2312" w:eastAsia="仿宋_GB2312" w:cs="黑体" w:hAnsi="黑体" w:hint="eastAsia"/>
                <w:color w:val="000000"/>
                <w:kern w:val="0"/>
                <w:sz w:val="18"/>
                <w:szCs w:val="18"/>
              </w:rPr>
              <w:t>政府申请行政复议。</w:t>
            </w:r>
          </w:p>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黑体" w:eastAsia="黑体" w:cs="黑体"/>
                <w:b/>
                <w:bCs/>
                <w:color w:val="000000"/>
                <w:szCs w:val="21"/>
              </w:rPr>
            </w:pPr>
            <w:r>
              <w:rPr>
                <w:rFonts w:ascii="仿宋_GB2312" w:eastAsia="仿宋_GB2312" w:cs="黑体" w:hAnsi="黑体" w:hint="eastAsia"/>
                <w:color w:val="000000"/>
                <w:kern w:val="0"/>
                <w:sz w:val="18"/>
                <w:szCs w:val="18"/>
              </w:rPr>
              <w:t>2．不服许可决定应当自知道或者应当知道作出行政行为之日起六个月内提出向</w:t>
            </w:r>
            <w:r>
              <w:rPr>
                <w:rFonts w:ascii="仿宋_GB2312" w:eastAsia="仿宋_GB2312" w:cs="黑体" w:hAnsi="黑体" w:hint="eastAsia"/>
                <w:color w:val="000000"/>
                <w:kern w:val="0"/>
                <w:sz w:val="18"/>
                <w:szCs w:val="18"/>
                <w:lang w:eastAsia="zh-CN"/>
              </w:rPr>
              <w:t>昌黎县</w:t>
            </w:r>
            <w:r>
              <w:rPr>
                <w:rFonts w:ascii="仿宋_GB2312" w:eastAsia="仿宋_GB2312" w:cs="黑体" w:hAnsi="黑体" w:hint="eastAsia"/>
                <w:color w:val="000000"/>
                <w:kern w:val="0"/>
                <w:sz w:val="18"/>
                <w:szCs w:val="18"/>
              </w:rPr>
              <w:t>人民法院提起行政诉讼。</w:t>
            </w:r>
          </w:p>
        </w:tc>
      </w:tr>
      <w:tr>
        <w:trPr>
          <w:trHeight w:val="228"/>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129C6970-D448-4DC6-BF61-06F0370D7AB6}">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11</TotalTime>
  <Application>Yozo_Office27021597764231179</Application>
  <Pages>1</Pages>
  <Words>0</Words>
  <Characters>1254</Characters>
  <Lines>0</Lines>
  <Paragraphs>3</Paragraphs>
  <CharactersWithSpaces>1672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2024-09-27T07:37:29Z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774A8D8A993949C4B21BD4B5A2A4F9F3_12</vt:lpwstr>
  </property>
</Properties>
</file>