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Calibri"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Calibri" w:hint="eastAsia"/>
                <w:color w:val="000000"/>
                <w:kern w:val="0"/>
                <w:sz w:val="18"/>
                <w:szCs w:val="18"/>
              </w:rPr>
              <w:t>昌黎县自然资源和规划局</w:t>
            </w:r>
          </w:p>
        </w:tc>
      </w:tr>
      <w:tr>
        <w:trPr>
          <w:trHeight w:val="31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widowControl/>
              <w:adjustRightInd/>
              <w:snapToGrid/>
              <w:spacing w:after="0" w:line="240" w:lineRule="auto"/>
              <w:jc w:val="center"/>
              <w:textAlignment w:val="center"/>
              <w:rPr>
                <w:rFonts w:ascii="仿宋_GB2312" w:eastAsia="仿宋_GB2312" w:cs="仿宋_GB2312" w:hAnsi="Calibri"/>
                <w:color w:val="000000"/>
                <w:kern w:val="0"/>
                <w:sz w:val="18"/>
                <w:szCs w:val="18"/>
                <w:lang w:val="en-US" w:eastAsia="zh-CN"/>
              </w:rPr>
            </w:pPr>
            <w:r>
              <w:rPr>
                <w:rFonts w:ascii="仿宋_GB2312" w:eastAsia="仿宋_GB2312" w:cs="仿宋_GB2312" w:hAnsi="Calibri"/>
                <w:color w:val="000000"/>
                <w:kern w:val="0"/>
                <w:sz w:val="18"/>
                <w:szCs w:val="18"/>
                <w:lang w:val="en-US" w:eastAsia="zh-CN"/>
              </w:rPr>
              <w:t>对在土地利用总体规划确定的禁止开垦区进行开垦的行政处罚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widowControl/>
              <w:adjustRightInd/>
              <w:snapToGrid/>
              <w:spacing w:after="0" w:line="240" w:lineRule="auto"/>
              <w:jc w:val="center"/>
              <w:textAlignment w:val="center"/>
              <w:rPr>
                <w:rFonts w:ascii="仿宋_GB2312" w:eastAsia="仿宋_GB2312" w:cs="仿宋_GB2312" w:hAnsi="Calibri"/>
                <w:color w:val="000000"/>
                <w:kern w:val="0"/>
                <w:sz w:val="18"/>
                <w:szCs w:val="18"/>
                <w:lang w:val="en-US" w:eastAsia="zh-CN"/>
              </w:rPr>
            </w:pPr>
            <w:r>
              <w:rPr>
                <w:rFonts w:ascii="仿宋_GB2312" w:eastAsia="仿宋_GB2312" w:cs="仿宋_GB2312" w:hAnsi="Calibri" w:hint="eastAsia"/>
                <w:color w:val="000000"/>
                <w:kern w:val="0"/>
                <w:sz w:val="18"/>
                <w:szCs w:val="18"/>
                <w:lang w:val="en-US" w:eastAsia="zh-CN"/>
              </w:rPr>
              <w:t>市级以上重点项目、跨乡镇区违法用地案件、黄金海岸北区由自然资源和规划局负责；其他区域由各乡镇（南区）政府负责</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int="eastAsia"/>
                <w:kern w:val="0"/>
                <w:sz w:val="18"/>
                <w:szCs w:val="18"/>
              </w:rPr>
            </w:pPr>
            <w:r>
              <w:rPr>
                <w:rFonts w:ascii="仿宋_GB2312" w:eastAsia="仿宋_GB2312" w:cs="黑体" w:hAnsi="Calibri" w:hint="eastAsia"/>
                <w:color w:val="000000"/>
                <w:kern w:val="0"/>
                <w:sz w:val="18"/>
                <w:szCs w:val="18"/>
              </w:rPr>
              <w:t>《中华人民共和国土地管理法》（1986年6月通过，2019年8月修正）第七十七条：“未经批准或者采取欺骗手段骗取批准，非法占用土地的，由县级以上人民政府自然资源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处分；构成犯罪的，依法追究刑事责任。超过批准的数量占用土地，多占的土地以非法占用土地论处。”《中华人民共和国土地管理法实施条例》（1998年12月国务院令第256号，2021年7月国务院令第743号第三次修订）第九条：“禁止任何单位和个人在国土空间规划确定的禁止开垦的范围内从事土地开发活动。” 第五十七条：“依照《</w:t>
            </w:r>
            <w:r>
              <w:rPr>
                <w:rFonts w:ascii="仿宋_GB2312" w:eastAsia="仿宋_GB2312" w:cs="黑体" w:hAnsi="Calibri"/>
                <w:color w:val="000000"/>
                <w:kern w:val="0"/>
                <w:sz w:val="18"/>
                <w:szCs w:val="18"/>
              </w:rPr>
              <w:t>中华人民共和国</w:t>
            </w:r>
            <w:r>
              <w:rPr>
                <w:rFonts w:ascii="仿宋_GB2312" w:eastAsia="仿宋_GB2312" w:cs="黑体" w:hAnsi="Calibri" w:hint="eastAsia"/>
                <w:color w:val="000000"/>
                <w:kern w:val="0"/>
                <w:sz w:val="18"/>
                <w:szCs w:val="18"/>
              </w:rPr>
              <w:t>土地管理法》第七十七条的规定处以罚款的，罚款额为非法占用土地每平方米100元以上1000元以下。违反本条例规定，在国土空间规划确定的禁止开垦的范围内从事土地开发活动的，由县级以上人民政府自然资源主管部门责令限期改正，并依照《</w:t>
            </w:r>
            <w:r>
              <w:rPr>
                <w:rFonts w:ascii="仿宋_GB2312" w:eastAsia="仿宋_GB2312" w:cs="黑体" w:hAnsi="Calibri"/>
                <w:color w:val="000000"/>
                <w:kern w:val="0"/>
                <w:sz w:val="18"/>
                <w:szCs w:val="18"/>
              </w:rPr>
              <w:t>中华人民共和国</w:t>
            </w:r>
            <w:bookmarkStart w:id="0" w:name="_GoBack"/>
            <w:bookmarkEnd w:id="0"/>
            <w:r>
              <w:rPr>
                <w:rFonts w:ascii="仿宋_GB2312" w:eastAsia="仿宋_GB2312" w:cs="黑体" w:hAnsi="Calibri" w:hint="eastAsia"/>
                <w:color w:val="000000"/>
                <w:kern w:val="0"/>
                <w:sz w:val="18"/>
                <w:szCs w:val="18"/>
              </w:rPr>
              <w:t xml:space="preserve">土地管理法》第七十七条的规定处罚。” </w:t>
            </w:r>
            <w:r>
              <w:rPr>
                <w:rFonts w:ascii="仿宋_GB2312" w:eastAsia="仿宋_GB2312" w:cs="黑体" w:hint="eastAsia"/>
                <w:color w:val="FF0000"/>
                <w:kern w:val="0"/>
                <w:sz w:val="18"/>
                <w:szCs w:val="18"/>
              </w:rPr>
              <w:t xml:space="preserve">    </w:t>
            </w:r>
            <w:r>
              <w:rPr>
                <w:rFonts w:ascii="仿宋_GB2312" w:eastAsia="仿宋_GB2312" w:cs="黑体" w:hint="eastAsia"/>
                <w:kern w:val="0"/>
                <w:sz w:val="18"/>
                <w:szCs w:val="18"/>
              </w:rPr>
              <w:t xml:space="preserve">                             </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仿宋_GB2312" w:eastAsia="仿宋_GB2312" w:cs="黑体"/>
                <w:b/>
                <w:bCs/>
                <w:color w:val="000000"/>
                <w:szCs w:val="21"/>
              </w:rPr>
            </w:pPr>
            <w:r>
              <w:rPr>
                <w:rFonts w:ascii="仿宋_GB2312" w:eastAsia="仿宋_GB2312" w:cs="黑体" w:hAnsi="Calibri" w:hint="eastAsia"/>
                <w:color w:val="000000"/>
                <w:kern w:val="0"/>
                <w:sz w:val="18"/>
                <w:szCs w:val="18"/>
              </w:rPr>
              <w:t>昌办字〔2019〕39号第（三十三）条。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both"/>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both"/>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2796"/>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63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78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1．不服许可决定自知道该具体行政行为之日起六十日内向</w:t>
            </w:r>
            <w:r>
              <w:rPr>
                <w:rFonts w:ascii="仿宋_GB2312" w:eastAsia="仿宋_GB2312" w:cs="黑体" w:hAnsi="黑体" w:hint="eastAsia"/>
                <w:color w:val="000000"/>
                <w:kern w:val="0"/>
                <w:sz w:val="18"/>
                <w:szCs w:val="18"/>
                <w:lang w:eastAsia="zh-CN"/>
              </w:rPr>
              <w:t>县</w:t>
            </w:r>
            <w:r>
              <w:rPr>
                <w:rFonts w:ascii="仿宋_GB2312" w:eastAsia="仿宋_GB2312" w:cs="黑体" w:hAnsi="黑体" w:hint="eastAsia"/>
                <w:color w:val="000000"/>
                <w:kern w:val="0"/>
                <w:sz w:val="18"/>
                <w:szCs w:val="18"/>
              </w:rPr>
              <w:t>政府申请行政复议。</w:t>
            </w:r>
          </w:p>
          <w:p>
            <w:pPr>
              <w:widowControl/>
              <w:adjustRightInd/>
              <w:snapToGrid/>
              <w:spacing w:after="0" w:line="240" w:lineRule="exact"/>
              <w:jc w:val="left"/>
              <w:textAlignment w:val="center"/>
              <w:rPr>
                <w:rFonts w:ascii="黑体" w:eastAsia="黑体" w:cs="黑体"/>
                <w:b/>
                <w:bCs/>
                <w:color w:val="000000"/>
                <w:szCs w:val="21"/>
              </w:rPr>
            </w:pPr>
            <w:r>
              <w:rPr>
                <w:rFonts w:ascii="仿宋_GB2312" w:eastAsia="仿宋_GB2312" w:cs="黑体" w:hAnsi="黑体" w:hint="eastAsia"/>
                <w:color w:val="000000"/>
                <w:kern w:val="0"/>
                <w:sz w:val="18"/>
                <w:szCs w:val="18"/>
              </w:rPr>
              <w:t>2．不服许可决定应当自知道或者应当知道作出行政行为之日起六个月内提出向</w:t>
            </w:r>
            <w:r>
              <w:rPr>
                <w:rFonts w:ascii="仿宋_GB2312" w:eastAsia="仿宋_GB2312" w:cs="黑体" w:hAnsi="黑体" w:hint="eastAsia"/>
                <w:color w:val="000000"/>
                <w:kern w:val="0"/>
                <w:sz w:val="18"/>
                <w:szCs w:val="18"/>
                <w:lang w:eastAsia="zh-CN"/>
              </w:rPr>
              <w:t>昌黎县</w:t>
            </w:r>
            <w:r>
              <w:rPr>
                <w:rFonts w:ascii="仿宋_GB2312" w:eastAsia="仿宋_GB2312" w:cs="黑体" w:hAnsi="黑体" w:hint="eastAsia"/>
                <w:color w:val="000000"/>
                <w:kern w:val="0"/>
                <w:sz w:val="18"/>
                <w:szCs w:val="18"/>
              </w:rPr>
              <w:t>人民法院提起行政诉讼。</w:t>
            </w:r>
          </w:p>
        </w:tc>
      </w:tr>
      <w:tr>
        <w:trPr>
          <w:trHeight w:val="228"/>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C3E56421-41DD-4F49-8F13-6551133FD77A}">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1160</Characters>
  <Lines>0</Lines>
  <Paragraphs>3</Paragraphs>
  <CharactersWithSpaces>1547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2024-09-27T07:46:00Z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342E5B113EE24A4EA8533E64B0550D95_12</vt:lpwstr>
  </property>
</Properties>
</file>