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spacing w:line="240" w:lineRule="auto"/>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392"/>
        <w:gridCol w:w="1170"/>
        <w:gridCol w:w="700"/>
        <w:gridCol w:w="1691"/>
        <w:gridCol w:w="1963"/>
        <w:gridCol w:w="1203"/>
        <w:gridCol w:w="215"/>
        <w:gridCol w:w="850"/>
        <w:gridCol w:w="1471"/>
      </w:tblGrid>
      <w:tr>
        <w:trPr>
          <w:trHeight w:val="319"/>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870" w:type="dxa"/>
            <w:gridSpan w:val="2"/>
            <w:tcBorders>
              <w:tl2br w:val="nil"/>
              <w:tr2bl w:val="nil"/>
            </w:tcBorders>
            <w:shd w:val="clear" w:color="auto" w:fill="auto"/>
            <w:vAlign w:val="center"/>
          </w:tcPr>
          <w:p>
            <w:pPr>
              <w:jc w:val="center"/>
              <w:rPr>
                <w:rFonts w:ascii="黑体" w:eastAsia="黑体" w:cs="黑体"/>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32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val="31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i w:val="0"/>
                <w:color w:val="000000"/>
                <w:kern w:val="0"/>
                <w:sz w:val="20"/>
                <w:szCs w:val="20"/>
                <w:u w:val="none"/>
                <w:lang w:val="en-US" w:eastAsia="zh-CN"/>
              </w:rPr>
              <w:t>对在临时使用的土地上修建永久性建筑物、构筑物的行政处罚</w:t>
            </w:r>
          </w:p>
        </w:tc>
      </w:tr>
      <w:tr>
        <w:trPr>
          <w:trHeight w:val="405"/>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263" w:type="dxa"/>
            <w:gridSpan w:val="8"/>
            <w:tcBorders>
              <w:tl2br w:val="nil"/>
              <w:tr2bl w:val="nil"/>
            </w:tcBorders>
            <w:shd w:val="clear" w:color="auto" w:fill="auto"/>
            <w:vAlign w:val="center"/>
          </w:tcPr>
          <w:p>
            <w:pPr>
              <w:keepNext w:val="0"/>
              <w:keepLines w:val="0"/>
              <w:widowControl/>
              <w:suppressLineNumbers w:val="0"/>
              <w:adjustRightInd/>
              <w:snapToGrid/>
              <w:spacing w:after="0" w:line="240" w:lineRule="auto"/>
              <w:jc w:val="center"/>
              <w:textAlignment w:val="center"/>
              <w:rPr>
                <w:rFonts w:ascii="仿宋_GB2312" w:eastAsia="仿宋_GB2312" w:cs="仿宋_GB2312" w:hAnsi="宋体"/>
                <w:i w:val="0"/>
                <w:color w:val="000000"/>
                <w:kern w:val="0"/>
                <w:sz w:val="20"/>
                <w:szCs w:val="20"/>
                <w:u w:val="none"/>
                <w:lang w:val="en-US" w:eastAsia="zh-CN"/>
              </w:rPr>
            </w:pPr>
            <w:r>
              <w:rPr>
                <w:rFonts w:ascii="仿宋_GB2312" w:eastAsia="仿宋_GB2312" w:cs="仿宋_GB2312" w:hAnsi="宋体" w:hint="eastAsia"/>
                <w:i w:val="0"/>
                <w:color w:val="000000"/>
                <w:kern w:val="0"/>
                <w:sz w:val="20"/>
                <w:szCs w:val="20"/>
                <w:u w:val="none"/>
                <w:lang w:val="en-US" w:eastAsia="zh-CN"/>
              </w:rPr>
              <w:t>市级以上重点项目、跨乡镇区违法用地案件、黄金海岸北区由自然资源和规划局负责；其他区域由各乡镇（南区）政府负责</w:t>
            </w:r>
          </w:p>
        </w:tc>
      </w:tr>
      <w:tr>
        <w:trPr>
          <w:trHeight w:val="1997"/>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9263"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_GB2312" w:eastAsia="仿宋_GB2312" w:cs="黑体" w:hAnsi="Calibri" w:hint="eastAsia"/>
                <w:color w:val="000000"/>
                <w:kern w:val="0"/>
                <w:sz w:val="18"/>
                <w:szCs w:val="18"/>
              </w:rPr>
            </w:pPr>
            <w:r>
              <w:rPr>
                <w:rFonts w:ascii="仿宋_GB2312" w:eastAsia="仿宋_GB2312" w:cs="黑体" w:hAnsi="Calibri" w:hint="eastAsia"/>
                <w:color w:val="000000"/>
                <w:kern w:val="0"/>
                <w:sz w:val="18"/>
                <w:szCs w:val="18"/>
              </w:rPr>
              <w:t>《中华人民共和国土地管理法》（1986年6月通过，2019年8月修正）第五十七条：“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临时使用土地的使用者应当按照临时使用土地合同约定的用途使用土地，并不得修建永久性建筑物。临时使用土地期限一般不超过二年。”</w:t>
            </w:r>
            <w:r>
              <w:rPr>
                <w:rFonts w:ascii="仿宋_GB2312" w:eastAsia="仿宋_GB2312" w:cs="黑体" w:hAnsi="Calibri" w:hint="eastAsia"/>
                <w:color w:val="000000"/>
                <w:kern w:val="0"/>
                <w:sz w:val="18"/>
                <w:szCs w:val="18"/>
                <w:lang w:eastAsia="zh-CN"/>
              </w:rPr>
              <w:t>《</w:t>
            </w:r>
            <w:r>
              <w:rPr>
                <w:rFonts w:ascii="仿宋_GB2312" w:eastAsia="仿宋_GB2312" w:cs="黑体" w:hAnsi="Calibri" w:hint="eastAsia"/>
                <w:color w:val="000000"/>
                <w:kern w:val="0"/>
                <w:sz w:val="18"/>
                <w:szCs w:val="18"/>
              </w:rPr>
              <w:t>中华人民共和国土地管理法实施条例》（1998年12月国务院令第256号，2021年7月国务院令第743号第三次修订）第二十条：“建设项目施工、地质勘查需要临时使用土地的，应当尽量不占或者少占耕地。临时用地由县级以上人民政府自然资源主管部门批准，期限一般不超过二年；建设周期较长的能源、交通、水利等基础设施建设使用的临时用地，期限不超过四年；法律、行政法规另有规定的除外。土地使用者应当自临时用地期满之日起一年内完成土地复垦，使其达到可供利用状态，其中占用耕地的应当恢复种植条件。”                        第五十二条：“违反《</w:t>
            </w:r>
            <w:r>
              <w:rPr>
                <w:rFonts w:ascii="仿宋_GB2312" w:eastAsia="仿宋_GB2312" w:cs="黑体" w:hAnsi="Calibri"/>
                <w:color w:val="000000"/>
                <w:kern w:val="0"/>
                <w:sz w:val="18"/>
                <w:szCs w:val="18"/>
              </w:rPr>
              <w:t>中华人民共和国</w:t>
            </w:r>
            <w:r>
              <w:rPr>
                <w:rFonts w:ascii="仿宋_GB2312" w:eastAsia="仿宋_GB2312" w:cs="黑体" w:hAnsi="Calibri" w:hint="eastAsia"/>
                <w:color w:val="000000"/>
                <w:kern w:val="0"/>
                <w:sz w:val="18"/>
                <w:szCs w:val="18"/>
              </w:rPr>
              <w:t xml:space="preserve">土地管理法》第五十七条的规定，在临时使用的土地上修建永久性建筑物的，由县级以上人民政府自然资源主管部门责令限期拆除，按占用面积处土地复垦费5倍以上10倍以下的罚款；逾期不拆除的，由作出行政决定的机关依法申请人民法院强制执行。”  </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spacing w:line="240" w:lineRule="exact"/>
              <w:rPr>
                <w:rFonts w:ascii="仿宋_GB2312" w:eastAsia="仿宋_GB2312" w:cs="黑体"/>
                <w:b/>
                <w:bCs/>
                <w:color w:val="000000"/>
                <w:szCs w:val="21"/>
              </w:rPr>
            </w:pPr>
            <w:r>
              <w:rPr>
                <w:rFonts w:ascii="仿宋_GB2312" w:eastAsia="仿宋_GB2312" w:cs="黑体" w:hAnsi="Calibri" w:hint="eastAsia"/>
                <w:color w:val="000000"/>
                <w:kern w:val="0"/>
                <w:sz w:val="18"/>
                <w:szCs w:val="18"/>
              </w:rPr>
              <w:t>昌办字〔2019〕39号第（三十三）条。</w:t>
            </w:r>
          </w:p>
        </w:tc>
      </w:tr>
      <w:tr>
        <w:trPr>
          <w:trHeight w:val="225"/>
        </w:trPr>
        <w:tc>
          <w:tcPr>
            <w:tcW w:w="1392"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17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55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065"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471"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474"/>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立案</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经初步了解案件后，依法立案或不予立案（不予立案应当告知理由）</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5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调查取证</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制作现场勘验笔录、调查询问笔录、搜集相关文件资料、现场拍照录像等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审查</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执法主体是否合法、事实是否清楚、证据是否合法充分、适用法律是否准确、执法程序是否合法等</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48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决定</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制作事先告知书（听证告知书）、处罚决定书</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549"/>
        </w:trPr>
        <w:tc>
          <w:tcPr>
            <w:tcW w:w="1392" w:type="dxa"/>
            <w:vMerge/>
            <w:tcBorders>
              <w:tl2br w:val="nil"/>
              <w:tr2bl w:val="nil"/>
            </w:tcBorders>
            <w:shd w:val="clear" w:color="auto" w:fill="auto"/>
            <w:vAlign w:val="center"/>
          </w:tcPr>
          <w:p/>
        </w:tc>
        <w:tc>
          <w:tcPr>
            <w:tcW w:w="1170" w:type="dxa"/>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w:t>
            </w:r>
          </w:p>
        </w:tc>
        <w:tc>
          <w:tcPr>
            <w:tcW w:w="5557" w:type="dxa"/>
            <w:gridSpan w:val="4"/>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送达相关文书，告知行政复议和行政诉讼等救济权利</w:t>
            </w:r>
          </w:p>
        </w:tc>
        <w:tc>
          <w:tcPr>
            <w:tcW w:w="1065" w:type="dxa"/>
            <w:gridSpan w:val="2"/>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黑体" w:hint="eastAsia"/>
                <w:color w:val="000000"/>
                <w:kern w:val="2"/>
                <w:sz w:val="18"/>
                <w:szCs w:val="18"/>
              </w:rPr>
            </w:pPr>
          </w:p>
        </w:tc>
        <w:tc>
          <w:tcPr>
            <w:tcW w:w="1471" w:type="dxa"/>
            <w:tcBorders>
              <w:tl2br w:val="nil"/>
              <w:tr2bl w:val="nil"/>
            </w:tcBorders>
            <w:shd w:val="clear" w:color="auto" w:fill="auto"/>
          </w:tcPr>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执法监察大队、</w:t>
            </w:r>
          </w:p>
          <w:p>
            <w:pPr>
              <w:widowControl w:val="0"/>
              <w:adjustRightInd/>
              <w:snapToGrid/>
              <w:spacing w:after="0" w:line="240" w:lineRule="auto"/>
              <w:jc w:val="center"/>
              <w:rPr>
                <w:rFonts w:ascii="仿宋_GB2312" w:eastAsia="仿宋_GB2312" w:cs="黑体" w:hAnsi="黑体" w:hint="eastAsia"/>
                <w:color w:val="000000"/>
                <w:kern w:val="2"/>
                <w:sz w:val="18"/>
                <w:szCs w:val="18"/>
              </w:rPr>
            </w:pPr>
            <w:r>
              <w:rPr>
                <w:rFonts w:ascii="仿宋_GB2312" w:eastAsia="仿宋_GB2312" w:cs="黑体" w:hAnsi="黑体" w:hint="eastAsia"/>
                <w:color w:val="000000"/>
                <w:kern w:val="2"/>
                <w:sz w:val="18"/>
                <w:szCs w:val="18"/>
              </w:rPr>
              <w:t>黄金海岸分局</w:t>
            </w:r>
          </w:p>
        </w:tc>
      </w:tr>
      <w:tr>
        <w:trPr>
          <w:trHeight w:val="2571"/>
        </w:trPr>
        <w:tc>
          <w:tcPr>
            <w:tcW w:w="1392"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263" w:type="dxa"/>
            <w:gridSpan w:val="8"/>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1、没有法律和事实依据实施行政处罚的；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2、擅自改变行政处罚种类、幅度的；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3、违反法定程序进行行政处罚的；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4、违反委托处罚规定的；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5、对违法行为未依法制止的；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6、应当依法立案查处，无正当理由未依法立案查处的；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7、在制止以及查处违法案件中受阻，依照有关规定应当向本级人民政府或者上级国土资源主管部门报告而未报告的；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8、符合听证条件、行政管理相对人要求听证，应予组织听证而不组织听证的。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9、应当依法进行行政处罚而未依法处罚的；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10、应当依法移送追究刑事责任，而未依法移送有权机关的；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hint="eastAsia"/>
                <w:i w:val="0"/>
                <w:color w:val="000000"/>
                <w:kern w:val="0"/>
                <w:sz w:val="16"/>
                <w:szCs w:val="16"/>
                <w:u w:val="none"/>
                <w:lang w:val="en-US" w:eastAsia="zh-CN"/>
              </w:rPr>
            </w:pPr>
            <w:r>
              <w:rPr>
                <w:rFonts w:ascii="仿宋" w:eastAsia="仿宋" w:cs="仿宋" w:hAnsi="仿宋" w:hint="eastAsia"/>
                <w:i w:val="0"/>
                <w:color w:val="000000"/>
                <w:kern w:val="0"/>
                <w:sz w:val="16"/>
                <w:szCs w:val="16"/>
                <w:u w:val="none"/>
                <w:lang w:val="en-US" w:eastAsia="zh-CN"/>
              </w:rPr>
              <w:t>11、在行政处罚过程中发生腐败行为的；</w:t>
            </w:r>
          </w:p>
          <w:p>
            <w:pPr>
              <w:keepNext w:val="0"/>
              <w:keepLines w:val="0"/>
              <w:pageBreakBefore w:val="0"/>
              <w:widowControl/>
              <w:suppressLineNumbers w:val="0"/>
              <w:kinsoku/>
              <w:wordWrap/>
              <w:overflowPunct/>
              <w:topLinePunct w:val="0"/>
              <w:autoSpaceDE/>
              <w:autoSpaceDN/>
              <w:bidi w:val="0"/>
              <w:adjustRightInd/>
              <w:snapToGrid/>
              <w:spacing w:after="0" w:line="220" w:lineRule="exact"/>
              <w:jc w:val="left"/>
              <w:textAlignment w:val="center"/>
              <w:rPr>
                <w:rFonts w:ascii="仿宋" w:eastAsia="仿宋" w:cs="仿宋" w:hAnsi="仿宋"/>
                <w:i w:val="0"/>
                <w:color w:val="000000"/>
                <w:kern w:val="2"/>
                <w:sz w:val="16"/>
                <w:szCs w:val="16"/>
                <w:u w:val="none"/>
                <w:lang w:val="en-US" w:eastAsia="zh-CN" w:bidi="ar-SA"/>
              </w:rPr>
            </w:pPr>
            <w:r>
              <w:rPr>
                <w:rFonts w:ascii="仿宋" w:eastAsia="仿宋" w:cs="仿宋" w:hAnsi="仿宋" w:hint="eastAsia"/>
                <w:i w:val="0"/>
                <w:color w:val="000000"/>
                <w:kern w:val="0"/>
                <w:sz w:val="16"/>
                <w:szCs w:val="16"/>
                <w:u w:val="none"/>
                <w:lang w:val="en-US" w:eastAsia="zh-CN"/>
              </w:rPr>
              <w:t>12、其他违反法律法规规章文件规定的行为。</w:t>
            </w:r>
          </w:p>
        </w:tc>
      </w:tr>
      <w:tr>
        <w:trPr>
          <w:trHeight w:val="636"/>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631"/>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263" w:type="dxa"/>
            <w:gridSpan w:val="8"/>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1．不服许可决定自知道该具体行政行为之日起六十日内向</w:t>
            </w:r>
            <w:r>
              <w:rPr>
                <w:rFonts w:ascii="仿宋_GB2312" w:eastAsia="仿宋_GB2312" w:cs="黑体" w:hAnsi="黑体" w:hint="eastAsia"/>
                <w:color w:val="000000"/>
                <w:kern w:val="0"/>
                <w:sz w:val="18"/>
                <w:szCs w:val="18"/>
                <w:lang w:eastAsia="zh-CN"/>
              </w:rPr>
              <w:t>县</w:t>
            </w:r>
            <w:r>
              <w:rPr>
                <w:rFonts w:ascii="仿宋_GB2312" w:eastAsia="仿宋_GB2312" w:cs="黑体" w:hAnsi="黑体" w:hint="eastAsia"/>
                <w:color w:val="000000"/>
                <w:kern w:val="0"/>
                <w:sz w:val="18"/>
                <w:szCs w:val="18"/>
              </w:rPr>
              <w:t>政府申请行政复议。</w:t>
            </w:r>
          </w:p>
          <w:p>
            <w:pPr>
              <w:keepNext w:val="0"/>
              <w:keepLines w:val="0"/>
              <w:pageBreakBefore w:val="0"/>
              <w:widowControl/>
              <w:kinsoku/>
              <w:wordWrap/>
              <w:overflowPunct/>
              <w:topLinePunct w:val="0"/>
              <w:autoSpaceDE/>
              <w:autoSpaceDN/>
              <w:bidi w:val="0"/>
              <w:adjustRightInd/>
              <w:snapToGrid/>
              <w:spacing w:after="0" w:line="220" w:lineRule="exact"/>
              <w:jc w:val="left"/>
              <w:textAlignment w:val="center"/>
              <w:rPr>
                <w:rFonts w:ascii="黑体" w:eastAsia="黑体" w:cs="黑体"/>
                <w:b/>
                <w:bCs/>
                <w:color w:val="000000"/>
                <w:szCs w:val="21"/>
              </w:rPr>
            </w:pPr>
            <w:r>
              <w:rPr>
                <w:rFonts w:ascii="仿宋_GB2312" w:eastAsia="仿宋_GB2312" w:cs="黑体" w:hAnsi="黑体" w:hint="eastAsia"/>
                <w:color w:val="000000"/>
                <w:kern w:val="0"/>
                <w:sz w:val="18"/>
                <w:szCs w:val="18"/>
              </w:rPr>
              <w:t>2．不服许可决定应当自知道或者应当知道作出行政行为之日起六个月内提出向</w:t>
            </w:r>
            <w:r>
              <w:rPr>
                <w:rFonts w:ascii="仿宋_GB2312" w:eastAsia="仿宋_GB2312" w:cs="黑体" w:hAnsi="黑体" w:hint="eastAsia"/>
                <w:color w:val="000000"/>
                <w:kern w:val="0"/>
                <w:sz w:val="18"/>
                <w:szCs w:val="18"/>
                <w:lang w:eastAsia="zh-CN"/>
              </w:rPr>
              <w:t>昌黎县</w:t>
            </w:r>
            <w:r>
              <w:rPr>
                <w:rFonts w:ascii="仿宋_GB2312" w:eastAsia="仿宋_GB2312" w:cs="黑体" w:hAnsi="黑体" w:hint="eastAsia"/>
                <w:color w:val="000000"/>
                <w:kern w:val="0"/>
                <w:sz w:val="18"/>
                <w:szCs w:val="18"/>
              </w:rPr>
              <w:t>人民法院提起行政诉讼。</w:t>
            </w:r>
          </w:p>
        </w:tc>
      </w:tr>
      <w:tr>
        <w:trPr>
          <w:trHeight w:val="228"/>
        </w:trPr>
        <w:tc>
          <w:tcPr>
            <w:tcW w:w="1392"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263"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080E0000" w:usb2="00000000" w:usb3="00000000" w:csb0="00040001" w:csb1="00000000"/>
  </w:font>
  <w:font w:name="Calibri">
    <w:panose1 w:val="020F0502020204030204"/>
    <w:charset w:val="00"/>
    <w:family w:val="swiss"/>
    <w:pitch w:val="variable"/>
    <w:sig w:usb0="E00002FF" w:usb1="4000ACFF" w:usb2="00000001" w:usb3="00000000" w:csb0="2000019F" w:csb1="00000000"/>
  </w:font>
  <w:font w:name="仿宋">
    <w:panose1 w:val="02010609060101010101"/>
    <w:charset w:val="86"/>
    <w:family w:val="auto"/>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4BE95BF8-CECC-4905-A90B-FB8861F8ECBD}">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1236</Characters>
  <Lines>0</Lines>
  <Paragraphs>3</Paragraphs>
  <CharactersWithSpaces>1648</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2024-09-27T07:47:35Z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B2D3F25200D74889853803AD2C77B5BB_12</vt:lpwstr>
  </property>
</Properties>
</file>