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widowControl/>
        <w:spacing w:line="240" w:lineRule="auto"/>
        <w:jc w:val="center"/>
        <w:textAlignment w:val="center"/>
        <w:rPr>
          <w:rFonts w:ascii="方正小标宋简体" w:eastAsia="方正小标宋简体" w:cs="方正小标宋简体"/>
          <w:color w:val="000000"/>
          <w:kern w:val="0"/>
          <w:sz w:val="32"/>
          <w:szCs w:val="32"/>
        </w:rPr>
      </w:pPr>
      <w:r>
        <w:rPr>
          <w:rFonts w:ascii="方正小标宋简体" w:eastAsia="方正小标宋简体" w:cs="方正小标宋简体" w:hint="eastAsia"/>
          <w:color w:val="000000"/>
          <w:kern w:val="0"/>
          <w:sz w:val="32"/>
          <w:szCs w:val="32"/>
        </w:rPr>
        <w:t>履职行权规程</w:t>
      </w:r>
    </w:p>
    <w:tbl>
      <w:tblPr>
        <w:jc w:val="center"/>
        <w:tblW w:w="106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15" w:type="dxa"/>
          <w:left w:w="15" w:type="dxa"/>
          <w:bottom w:w="15" w:type="dxa"/>
          <w:right w:w="15" w:type="dxa"/>
        </w:tblCellMar>
      </w:tblPr>
      <w:tblGrid>
        <w:gridCol w:w="1392"/>
        <w:gridCol w:w="1170"/>
        <w:gridCol w:w="700"/>
        <w:gridCol w:w="1691"/>
        <w:gridCol w:w="1963"/>
        <w:gridCol w:w="1203"/>
        <w:gridCol w:w="215"/>
        <w:gridCol w:w="850"/>
        <w:gridCol w:w="1471"/>
      </w:tblGrid>
      <w:tr>
        <w:trPr>
          <w:trHeight w:val="319"/>
        </w:trPr>
        <w:tc>
          <w:tcPr>
            <w:tcW w:w="1392" w:type="dxa"/>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黑体" w:eastAsia="黑体" w:cs="黑体" w:hAnsi="Calibri" w:hint="eastAsia"/>
                <w:b/>
                <w:bCs/>
                <w:color w:val="000000"/>
                <w:kern w:val="0"/>
                <w:sz w:val="21"/>
                <w:szCs w:val="21"/>
              </w:rPr>
              <w:t>编号</w:t>
            </w:r>
          </w:p>
        </w:tc>
        <w:tc>
          <w:tcPr>
            <w:tcW w:w="1870" w:type="dxa"/>
            <w:gridSpan w:val="2"/>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b/>
                <w:bCs/>
                <w:color w:val="000000"/>
                <w:kern w:val="0"/>
                <w:sz w:val="21"/>
                <w:szCs w:val="21"/>
                <w:lang w:val="en-US" w:eastAsia="zh-CN"/>
              </w:rPr>
            </w:pPr>
          </w:p>
        </w:tc>
        <w:tc>
          <w:tcPr>
            <w:tcW w:w="1691" w:type="dxa"/>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黑体" w:eastAsia="黑体" w:cs="黑体" w:hAnsi="Calibri" w:hint="eastAsia"/>
                <w:b/>
                <w:bCs/>
                <w:color w:val="000000"/>
                <w:kern w:val="0"/>
                <w:sz w:val="21"/>
                <w:szCs w:val="21"/>
              </w:rPr>
              <w:t>权力类型</w:t>
            </w:r>
          </w:p>
        </w:tc>
        <w:tc>
          <w:tcPr>
            <w:tcW w:w="1963" w:type="dxa"/>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仿宋_GB2312" w:eastAsia="仿宋_GB2312" w:cs="仿宋_GB2312" w:hAnsi="Calibri" w:hint="eastAsia"/>
                <w:color w:val="000000"/>
                <w:kern w:val="0"/>
                <w:sz w:val="18"/>
                <w:szCs w:val="18"/>
              </w:rPr>
              <w:t>行政处罚</w:t>
            </w:r>
          </w:p>
        </w:tc>
        <w:tc>
          <w:tcPr>
            <w:tcW w:w="1418" w:type="dxa"/>
            <w:gridSpan w:val="2"/>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黑体" w:eastAsia="黑体" w:cs="黑体" w:hAnsi="Calibri" w:hint="eastAsia"/>
                <w:b/>
                <w:bCs/>
                <w:color w:val="000000"/>
                <w:kern w:val="0"/>
                <w:sz w:val="21"/>
                <w:szCs w:val="21"/>
              </w:rPr>
              <w:t>实施主体</w:t>
            </w:r>
          </w:p>
        </w:tc>
        <w:tc>
          <w:tcPr>
            <w:tcW w:w="2321" w:type="dxa"/>
            <w:gridSpan w:val="2"/>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仿宋_GB2312" w:eastAsia="仿宋_GB2312" w:cs="仿宋_GB2312" w:hAnsi="Calibri" w:hint="eastAsia"/>
                <w:color w:val="000000"/>
                <w:kern w:val="0"/>
                <w:sz w:val="18"/>
                <w:szCs w:val="18"/>
              </w:rPr>
              <w:t>昌黎县自然资源和规划局</w:t>
            </w:r>
          </w:p>
        </w:tc>
      </w:tr>
      <w:tr>
        <w:trPr>
          <w:trHeight w:val="315"/>
        </w:trPr>
        <w:tc>
          <w:tcPr>
            <w:tcW w:w="1392" w:type="dxa"/>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黑体" w:eastAsia="黑体" w:cs="黑体" w:hAnsi="Calibri" w:hint="eastAsia"/>
                <w:b/>
                <w:bCs/>
                <w:color w:val="000000"/>
                <w:kern w:val="0"/>
                <w:sz w:val="21"/>
                <w:szCs w:val="21"/>
              </w:rPr>
              <w:t>事项名称</w:t>
            </w:r>
          </w:p>
        </w:tc>
        <w:tc>
          <w:tcPr>
            <w:tcW w:w="9263" w:type="dxa"/>
            <w:gridSpan w:val="8"/>
            <w:tcBorders>
              <w:tl2br w:val="nil"/>
              <w:tr2bl w:val="nil"/>
            </w:tcBorders>
            <w:shd w:val="clear" w:color="auto" w:fill="auto"/>
            <w:vAlign w:val="center"/>
          </w:tcPr>
          <w:p>
            <w:pPr>
              <w:widowControl/>
              <w:adjustRightInd/>
              <w:snapToGrid/>
              <w:spacing w:after="0" w:line="240" w:lineRule="auto"/>
              <w:jc w:val="center"/>
              <w:textAlignment w:val="center"/>
              <w:rPr>
                <w:rFonts w:ascii="仿宋_GB2312" w:eastAsia="仿宋_GB2312" w:cs="仿宋_GB2312" w:hAnsi="Calibri"/>
                <w:color w:val="000000"/>
                <w:kern w:val="0"/>
                <w:sz w:val="18"/>
                <w:szCs w:val="18"/>
                <w:lang w:val="en-US" w:eastAsia="zh-CN"/>
              </w:rPr>
            </w:pPr>
            <w:r>
              <w:rPr>
                <w:rFonts w:ascii="仿宋_GB2312" w:eastAsia="仿宋_GB2312" w:cs="仿宋_GB2312" w:hAnsi="Calibri"/>
                <w:color w:val="000000"/>
                <w:kern w:val="0"/>
                <w:sz w:val="18"/>
                <w:szCs w:val="18"/>
                <w:lang w:val="en-US" w:eastAsia="zh-CN"/>
              </w:rPr>
              <w:t>对在土地利用总体规划制定前已建的不符合土地利用总体规划确定用途的建筑物、构筑物重建、扩建的行政处罚</w:t>
            </w:r>
          </w:p>
        </w:tc>
      </w:tr>
      <w:tr>
        <w:trPr>
          <w:trHeight w:val="405"/>
        </w:trPr>
        <w:tc>
          <w:tcPr>
            <w:tcW w:w="1392" w:type="dxa"/>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黑体" w:eastAsia="黑体" w:cs="黑体" w:hAnsi="Calibri" w:hint="eastAsia"/>
                <w:b/>
                <w:bCs/>
                <w:color w:val="000000"/>
                <w:kern w:val="0"/>
                <w:sz w:val="21"/>
                <w:szCs w:val="21"/>
              </w:rPr>
              <w:t>管辖范围</w:t>
            </w:r>
          </w:p>
        </w:tc>
        <w:tc>
          <w:tcPr>
            <w:tcW w:w="9263" w:type="dxa"/>
            <w:gridSpan w:val="8"/>
            <w:tcBorders>
              <w:tl2br w:val="nil"/>
              <w:tr2bl w:val="nil"/>
            </w:tcBorders>
            <w:shd w:val="clear" w:color="auto" w:fill="auto"/>
            <w:vAlign w:val="center"/>
          </w:tcPr>
          <w:p>
            <w:pPr>
              <w:widowControl/>
              <w:adjustRightInd/>
              <w:snapToGrid/>
              <w:spacing w:after="0" w:line="240" w:lineRule="auto"/>
              <w:jc w:val="center"/>
              <w:textAlignment w:val="center"/>
              <w:rPr>
                <w:rFonts w:ascii="仿宋_GB2312" w:eastAsia="仿宋_GB2312" w:cs="仿宋_GB2312" w:hAnsi="Calibri"/>
                <w:color w:val="000000"/>
                <w:kern w:val="0"/>
                <w:sz w:val="18"/>
                <w:szCs w:val="18"/>
                <w:lang w:val="en-US" w:eastAsia="zh-CN"/>
              </w:rPr>
            </w:pPr>
            <w:r>
              <w:rPr>
                <w:rFonts w:ascii="仿宋_GB2312" w:eastAsia="仿宋_GB2312" w:cs="仿宋_GB2312" w:hAnsi="Calibri" w:hint="eastAsia"/>
                <w:color w:val="000000"/>
                <w:kern w:val="0"/>
                <w:sz w:val="18"/>
                <w:szCs w:val="18"/>
                <w:lang w:val="en-US" w:eastAsia="zh-CN"/>
              </w:rPr>
              <w:t>市级以上重点项目、跨乡镇区违法用地案件、黄金海岸北区由自然资源和规划局负责；其他区域由各乡镇（南区）政府负责</w:t>
            </w:r>
          </w:p>
        </w:tc>
      </w:tr>
      <w:tr>
        <w:trPr>
          <w:trHeight w:val="1997"/>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履职依据</w:t>
            </w:r>
          </w:p>
        </w:tc>
        <w:tc>
          <w:tcPr>
            <w:tcW w:w="9263" w:type="dxa"/>
            <w:gridSpan w:val="8"/>
            <w:tcBorders>
              <w:tl2br w:val="nil"/>
              <w:tr2bl w:val="nil"/>
            </w:tcBorders>
            <w:shd w:val="clear" w:color="auto" w:fill="auto"/>
            <w:vAlign w:val="center"/>
          </w:tcPr>
          <w:p>
            <w:pPr>
              <w:widowControl w:val="0"/>
              <w:adjustRightInd/>
              <w:snapToGrid/>
              <w:spacing w:after="0" w:line="240" w:lineRule="exact"/>
              <w:jc w:val="both"/>
              <w:rPr>
                <w:rFonts w:ascii="黑体" w:eastAsia="黑体" w:cs="仿宋_GB2312" w:hAnsi="黑体" w:hint="eastAsia"/>
                <w:kern w:val="0"/>
                <w:sz w:val="18"/>
                <w:szCs w:val="18"/>
              </w:rPr>
            </w:pPr>
            <w:r>
              <w:rPr>
                <w:rFonts w:ascii="黑体" w:eastAsia="黑体" w:cs="仿宋_GB2312" w:hAnsi="黑体" w:hint="eastAsia"/>
                <w:kern w:val="0"/>
                <w:sz w:val="18"/>
                <w:szCs w:val="18"/>
              </w:rPr>
              <w:t>【法律法规】</w:t>
            </w:r>
          </w:p>
          <w:p>
            <w:pPr>
              <w:widowControl w:val="0"/>
              <w:adjustRightInd/>
              <w:snapToGrid/>
              <w:spacing w:after="0" w:line="240" w:lineRule="exact"/>
              <w:jc w:val="both"/>
              <w:rPr>
                <w:rFonts w:ascii="仿宋_GB2312" w:eastAsia="仿宋_GB2312" w:cs="黑体" w:hAnsi="Calibri" w:hint="eastAsia"/>
                <w:color w:val="000000"/>
                <w:kern w:val="0"/>
                <w:sz w:val="18"/>
                <w:szCs w:val="18"/>
              </w:rPr>
            </w:pPr>
            <w:r>
              <w:rPr>
                <w:rFonts w:ascii="仿宋_GB2312" w:eastAsia="仿宋_GB2312" w:cs="黑体" w:hAnsi="Calibri" w:hint="eastAsia"/>
                <w:color w:val="000000"/>
                <w:kern w:val="0"/>
                <w:sz w:val="18"/>
                <w:szCs w:val="18"/>
              </w:rPr>
              <w:t>《中华人民共和国土地管理法》（1986年6月通过，2019年8月修正）第六十五条 在土地利用总体规划制定前已建的不符合土地利用总体规划确定的用途的建筑物、构筑物，不得重建、扩建。</w:t>
            </w:r>
          </w:p>
          <w:p>
            <w:pPr>
              <w:widowControl w:val="0"/>
              <w:adjustRightInd/>
              <w:snapToGrid/>
              <w:spacing w:after="0" w:line="240" w:lineRule="exact"/>
              <w:jc w:val="both"/>
              <w:rPr>
                <w:rFonts w:ascii="仿宋_GB2312" w:eastAsia="仿宋_GB2312" w:cs="黑体" w:hAnsi="Calibri" w:hint="eastAsia"/>
                <w:color w:val="000000"/>
                <w:kern w:val="0"/>
                <w:sz w:val="18"/>
                <w:szCs w:val="18"/>
              </w:rPr>
            </w:pPr>
            <w:r>
              <w:rPr>
                <w:rFonts w:ascii="仿宋_GB2312" w:eastAsia="仿宋_GB2312" w:cs="黑体" w:hAnsi="Calibri" w:hint="eastAsia"/>
                <w:color w:val="000000"/>
                <w:kern w:val="0"/>
                <w:sz w:val="18"/>
                <w:szCs w:val="18"/>
                <w:lang w:eastAsia="zh-CN"/>
              </w:rPr>
              <w:t>《</w:t>
            </w:r>
            <w:r>
              <w:rPr>
                <w:rFonts w:ascii="仿宋_GB2312" w:eastAsia="仿宋_GB2312" w:cs="黑体" w:hAnsi="Calibri" w:hint="eastAsia"/>
                <w:color w:val="000000"/>
                <w:kern w:val="0"/>
                <w:sz w:val="18"/>
                <w:szCs w:val="18"/>
              </w:rPr>
              <w:t>中华人民共和国土地管理法实施条例》（1998年12月国务院令第256号，2021年7月国务院令第743号第三次修订）第五十三条　违反《</w:t>
            </w:r>
            <w:r>
              <w:rPr>
                <w:rFonts w:ascii="仿宋_GB2312" w:eastAsia="仿宋_GB2312" w:cs="黑体" w:hAnsi="Calibri"/>
                <w:color w:val="000000"/>
                <w:kern w:val="0"/>
                <w:sz w:val="18"/>
                <w:szCs w:val="18"/>
              </w:rPr>
              <w:t>中华人民共和国</w:t>
            </w:r>
            <w:r>
              <w:rPr>
                <w:rFonts w:ascii="仿宋_GB2312" w:eastAsia="仿宋_GB2312" w:cs="黑体" w:hAnsi="Calibri" w:hint="eastAsia"/>
                <w:color w:val="000000"/>
                <w:kern w:val="0"/>
                <w:sz w:val="18"/>
                <w:szCs w:val="18"/>
              </w:rPr>
              <w:t>土地管理法》第六十五条的规定，对建筑物、构筑物进行重建、扩建的，由县级以上人民政府自然资源主管部门责令限期拆除；逾期不拆除的，由作出行政决定的机关依法申请人民法院强制执行。</w:t>
            </w:r>
          </w:p>
          <w:p>
            <w:pPr>
              <w:widowControl w:val="0"/>
              <w:adjustRightInd/>
              <w:snapToGrid/>
              <w:spacing w:after="0" w:line="240" w:lineRule="exact"/>
              <w:jc w:val="both"/>
              <w:rPr>
                <w:rFonts w:ascii="黑体" w:eastAsia="黑体" w:cs="仿宋_GB2312" w:hAnsi="黑体" w:hint="eastAsia"/>
                <w:kern w:val="0"/>
                <w:sz w:val="18"/>
                <w:szCs w:val="18"/>
              </w:rPr>
            </w:pPr>
            <w:r>
              <w:rPr>
                <w:rFonts w:ascii="黑体" w:eastAsia="黑体" w:cs="仿宋_GB2312" w:hAnsi="黑体" w:hint="eastAsia"/>
                <w:kern w:val="0"/>
                <w:sz w:val="18"/>
                <w:szCs w:val="18"/>
              </w:rPr>
              <w:t>【三定规定】</w:t>
            </w:r>
          </w:p>
          <w:p>
            <w:pPr>
              <w:spacing w:line="240" w:lineRule="exact"/>
              <w:rPr>
                <w:rFonts w:ascii="仿宋_GB2312" w:eastAsia="仿宋_GB2312" w:cs="黑体"/>
                <w:b/>
                <w:bCs/>
                <w:color w:val="000000"/>
                <w:szCs w:val="21"/>
              </w:rPr>
            </w:pPr>
            <w:r>
              <w:rPr>
                <w:rFonts w:ascii="仿宋_GB2312" w:eastAsia="仿宋_GB2312" w:cs="黑体" w:hAnsi="Calibri" w:hint="eastAsia"/>
                <w:color w:val="000000"/>
                <w:kern w:val="0"/>
                <w:sz w:val="18"/>
                <w:szCs w:val="18"/>
              </w:rPr>
              <w:t>昌办字〔2019〕39号第（三十三）条。</w:t>
            </w:r>
          </w:p>
        </w:tc>
      </w:tr>
      <w:tr>
        <w:trPr>
          <w:trHeight w:val="225"/>
        </w:trPr>
        <w:tc>
          <w:tcPr>
            <w:tcW w:w="1392" w:type="dxa"/>
            <w:vMerge w:val="restart"/>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履职流程</w:t>
            </w:r>
          </w:p>
        </w:tc>
        <w:tc>
          <w:tcPr>
            <w:tcW w:w="1170"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办理环节</w:t>
            </w:r>
          </w:p>
        </w:tc>
        <w:tc>
          <w:tcPr>
            <w:tcW w:w="5557" w:type="dxa"/>
            <w:gridSpan w:val="4"/>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办理内容</w:t>
            </w:r>
          </w:p>
        </w:tc>
        <w:tc>
          <w:tcPr>
            <w:tcW w:w="1065"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szCs w:val="21"/>
              </w:rPr>
              <w:t>办理时限</w:t>
            </w:r>
          </w:p>
        </w:tc>
        <w:tc>
          <w:tcPr>
            <w:tcW w:w="1471"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责任科室</w:t>
            </w:r>
          </w:p>
        </w:tc>
      </w:tr>
      <w:tr>
        <w:trPr>
          <w:trHeight w:val="474"/>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立案</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经初步了解案件后，依法立案或不予立案（不予立案应当告知理由）</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459"/>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调查取证</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制作现场勘验笔录、调查询问笔录、搜集相关文件资料、现场拍照录像等</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489"/>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审查</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执法主体是否合法、事实是否清楚、证据是否合法充分、适用法律是否准确、执法程序是否合法等</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489"/>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决定</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制作事先告知书（听证告知书）、处罚决定书</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549"/>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送达</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送达相关文书，告知行政复议和行政诉讼等救济权利</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2896"/>
        </w:trPr>
        <w:tc>
          <w:tcPr>
            <w:tcW w:w="1392" w:type="dxa"/>
            <w:tcBorders>
              <w:tl2br w:val="nil"/>
              <w:tr2bl w:val="nil"/>
            </w:tcBorders>
            <w:shd w:val="clear" w:color="auto" w:fill="auto"/>
            <w:vAlign w:val="center"/>
          </w:tcPr>
          <w:p>
            <w:pPr>
              <w:widowControl/>
              <w:spacing w:line="240" w:lineRule="exact"/>
              <w:jc w:val="center"/>
              <w:textAlignment w:val="center"/>
              <w:rPr>
                <w:rFonts w:ascii="黑体" w:eastAsia="黑体" w:cs="黑体"/>
                <w:b/>
                <w:bCs/>
                <w:color w:val="000000"/>
                <w:szCs w:val="21"/>
              </w:rPr>
            </w:pPr>
            <w:r>
              <w:rPr>
                <w:rFonts w:ascii="黑体" w:eastAsia="黑体" w:cs="黑体" w:hint="eastAsia"/>
                <w:b/>
                <w:bCs/>
                <w:color w:val="000000"/>
                <w:kern w:val="0"/>
                <w:szCs w:val="21"/>
              </w:rPr>
              <w:t>追责情形</w:t>
            </w:r>
          </w:p>
        </w:tc>
        <w:tc>
          <w:tcPr>
            <w:tcW w:w="9263" w:type="dxa"/>
            <w:gridSpan w:val="8"/>
            <w:tcBorders>
              <w:tl2br w:val="nil"/>
              <w:tr2bl w:val="nil"/>
            </w:tcBorders>
            <w:shd w:val="clear" w:color="auto" w:fill="auto"/>
            <w:vAlign w:val="center"/>
          </w:tcPr>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因不履行或不正确履行行政职责，有下列情形的，行政机关及相关工作人员应承担相应责任：</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1、没有法律和事实依据实施行政处罚的；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2、擅自改变行政处罚种类、幅度的；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3、违反法定程序进行行政处罚的；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4、违反委托处罚规定的；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5、对违法行为未依法制止的；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6、应当依法立案查处，无正当理由未依法立案查处的；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7、在制止以及查处违法案件中受阻，依照有关规定应当向本级人民政府或者上级国土资源主管部门报告而未报告的；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8、符合听证条件、行政管理相对人要求听证，应予组织听证而不组织听证的。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9、应当依法进行行政处罚而未依法处罚的；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10、应当依法移送追究刑事责任，而未依法移送有权机关的；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11、在行政处罚过程中发生腐败行为的；</w:t>
            </w:r>
          </w:p>
          <w:p>
            <w:pPr>
              <w:keepNext w:val="0"/>
              <w:keepLines w:val="0"/>
              <w:widowControl/>
              <w:suppressLineNumbers w:val="0"/>
              <w:adjustRightInd/>
              <w:snapToGrid/>
              <w:spacing w:after="0" w:line="240" w:lineRule="auto"/>
              <w:jc w:val="left"/>
              <w:textAlignment w:val="center"/>
              <w:rPr>
                <w:rFonts w:ascii="仿宋" w:eastAsia="仿宋" w:cs="仿宋" w:hAnsi="仿宋"/>
                <w:i w:val="0"/>
                <w:color w:val="000000"/>
                <w:kern w:val="2"/>
                <w:sz w:val="16"/>
                <w:szCs w:val="16"/>
                <w:u w:val="none"/>
                <w:lang w:val="en-US" w:eastAsia="zh-CN" w:bidi="ar-SA"/>
              </w:rPr>
            </w:pPr>
            <w:r>
              <w:rPr>
                <w:rFonts w:ascii="仿宋" w:eastAsia="仿宋" w:cs="仿宋" w:hAnsi="仿宋" w:hint="eastAsia"/>
                <w:i w:val="0"/>
                <w:color w:val="000000"/>
                <w:kern w:val="0"/>
                <w:sz w:val="16"/>
                <w:szCs w:val="16"/>
                <w:u w:val="none"/>
                <w:lang w:val="en-US" w:eastAsia="zh-CN"/>
              </w:rPr>
              <w:t>12、其他违反法律法规规章文件规定的行为。</w:t>
            </w:r>
          </w:p>
        </w:tc>
      </w:tr>
      <w:tr>
        <w:trPr>
          <w:trHeight w:val="636"/>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监督方式</w:t>
            </w:r>
          </w:p>
        </w:tc>
        <w:tc>
          <w:tcPr>
            <w:tcW w:w="9263" w:type="dxa"/>
            <w:gridSpan w:val="8"/>
            <w:tcBorders>
              <w:tl2br w:val="nil"/>
              <w:tr2bl w:val="nil"/>
            </w:tcBorders>
            <w:shd w:val="clear" w:color="auto" w:fill="auto"/>
            <w:vAlign w:val="center"/>
          </w:tcPr>
          <w:p>
            <w:pPr>
              <w:widowControl/>
              <w:adjustRightInd/>
              <w:snapToGrid/>
              <w:spacing w:after="0" w:line="240" w:lineRule="exact"/>
              <w:jc w:val="left"/>
              <w:textAlignment w:val="center"/>
              <w:rPr>
                <w:rFonts w:ascii="仿宋_GB2312" w:eastAsia="仿宋_GB2312" w:cs="黑体" w:hAnsi="黑体" w:hint="eastAsia"/>
                <w:color w:val="000000"/>
                <w:kern w:val="0"/>
                <w:sz w:val="18"/>
                <w:szCs w:val="18"/>
              </w:rPr>
            </w:pPr>
            <w:r>
              <w:rPr>
                <w:rFonts w:ascii="仿宋_GB2312" w:eastAsia="仿宋_GB2312" w:cs="黑体" w:hAnsi="黑体" w:hint="eastAsia"/>
                <w:color w:val="000000"/>
                <w:kern w:val="0"/>
                <w:sz w:val="18"/>
                <w:szCs w:val="18"/>
              </w:rPr>
              <w:t>1.业务咨询：0335-2861320</w:t>
              <w:br/>
              <w:t>2.投诉举报电话：0335-2022626</w:t>
            </w:r>
          </w:p>
          <w:p>
            <w:pPr>
              <w:widowControl/>
              <w:adjustRightInd/>
              <w:snapToGrid/>
              <w:spacing w:after="0" w:line="240" w:lineRule="exact"/>
              <w:jc w:val="left"/>
              <w:textAlignment w:val="center"/>
              <w:rPr>
                <w:rFonts w:ascii="黑体" w:eastAsia="黑体" w:cs="黑体"/>
                <w:color w:val="000000"/>
                <w:sz w:val="24"/>
              </w:rPr>
            </w:pPr>
            <w:r>
              <w:rPr>
                <w:rFonts w:ascii="仿宋_GB2312" w:eastAsia="仿宋_GB2312" w:cs="黑体" w:hAnsi="黑体" w:hint="eastAsia"/>
                <w:color w:val="000000"/>
                <w:kern w:val="0"/>
                <w:sz w:val="18"/>
                <w:szCs w:val="18"/>
              </w:rPr>
              <w:t>3.纪检监察投诉：县纪委第四派驻纪检监察组，电话：0335-2608801</w:t>
            </w:r>
          </w:p>
        </w:tc>
      </w:tr>
      <w:tr>
        <w:trPr>
          <w:trHeight w:val="786"/>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法定救济途径</w:t>
            </w:r>
          </w:p>
        </w:tc>
        <w:tc>
          <w:tcPr>
            <w:tcW w:w="9263" w:type="dxa"/>
            <w:gridSpan w:val="8"/>
            <w:tcBorders>
              <w:tl2br w:val="nil"/>
              <w:tr2bl w:val="nil"/>
            </w:tcBorders>
            <w:shd w:val="clear" w:color="auto" w:fill="auto"/>
            <w:vAlign w:val="center"/>
          </w:tcPr>
          <w:p>
            <w:pPr>
              <w:widowControl/>
              <w:adjustRightInd/>
              <w:snapToGrid/>
              <w:spacing w:after="0" w:line="240" w:lineRule="exact"/>
              <w:jc w:val="left"/>
              <w:textAlignment w:val="center"/>
              <w:rPr>
                <w:rFonts w:ascii="仿宋_GB2312" w:eastAsia="仿宋_GB2312" w:cs="黑体" w:hAnsi="黑体" w:hint="eastAsia"/>
                <w:color w:val="000000"/>
                <w:kern w:val="0"/>
                <w:sz w:val="18"/>
                <w:szCs w:val="18"/>
              </w:rPr>
            </w:pPr>
            <w:r>
              <w:rPr>
                <w:rFonts w:ascii="仿宋_GB2312" w:eastAsia="仿宋_GB2312" w:cs="黑体" w:hAnsi="黑体" w:hint="eastAsia"/>
                <w:color w:val="000000"/>
                <w:kern w:val="0"/>
                <w:sz w:val="18"/>
                <w:szCs w:val="18"/>
              </w:rPr>
              <w:t>1．不服许可决定自知道该具体行政行为之日起六十日内向</w:t>
            </w:r>
            <w:r>
              <w:rPr>
                <w:rFonts w:ascii="仿宋_GB2312" w:eastAsia="仿宋_GB2312" w:cs="黑体" w:hAnsi="黑体" w:hint="eastAsia"/>
                <w:color w:val="000000"/>
                <w:kern w:val="0"/>
                <w:sz w:val="18"/>
                <w:szCs w:val="18"/>
                <w:lang w:eastAsia="zh-CN"/>
              </w:rPr>
              <w:t>县</w:t>
            </w:r>
            <w:r>
              <w:rPr>
                <w:rFonts w:ascii="仿宋_GB2312" w:eastAsia="仿宋_GB2312" w:cs="黑体" w:hAnsi="黑体" w:hint="eastAsia"/>
                <w:color w:val="000000"/>
                <w:kern w:val="0"/>
                <w:sz w:val="18"/>
                <w:szCs w:val="18"/>
              </w:rPr>
              <w:t>政府申请行政复议。</w:t>
            </w:r>
          </w:p>
          <w:p>
            <w:pPr>
              <w:widowControl/>
              <w:adjustRightInd/>
              <w:snapToGrid/>
              <w:spacing w:after="0" w:line="240" w:lineRule="exact"/>
              <w:jc w:val="left"/>
              <w:textAlignment w:val="center"/>
              <w:rPr>
                <w:rFonts w:ascii="黑体" w:eastAsia="黑体" w:cs="黑体"/>
                <w:b/>
                <w:bCs/>
                <w:color w:val="000000"/>
                <w:szCs w:val="21"/>
              </w:rPr>
            </w:pPr>
            <w:r>
              <w:rPr>
                <w:rFonts w:ascii="仿宋_GB2312" w:eastAsia="仿宋_GB2312" w:cs="黑体" w:hAnsi="黑体" w:hint="eastAsia"/>
                <w:color w:val="000000"/>
                <w:kern w:val="0"/>
                <w:sz w:val="18"/>
                <w:szCs w:val="18"/>
              </w:rPr>
              <w:t>2．不服许可决定应当自知道或者应当知道作出行政行为之日起六个月内提出向</w:t>
            </w:r>
            <w:r>
              <w:rPr>
                <w:rFonts w:ascii="仿宋_GB2312" w:eastAsia="仿宋_GB2312" w:cs="黑体" w:hAnsi="黑体" w:hint="eastAsia"/>
                <w:color w:val="000000"/>
                <w:kern w:val="0"/>
                <w:sz w:val="18"/>
                <w:szCs w:val="18"/>
                <w:lang w:eastAsia="zh-CN"/>
              </w:rPr>
              <w:t>昌黎县</w:t>
            </w:r>
            <w:r>
              <w:rPr>
                <w:rFonts w:ascii="仿宋_GB2312" w:eastAsia="仿宋_GB2312" w:cs="黑体" w:hAnsi="黑体" w:hint="eastAsia"/>
                <w:color w:val="000000"/>
                <w:kern w:val="0"/>
                <w:sz w:val="18"/>
                <w:szCs w:val="18"/>
              </w:rPr>
              <w:t>人民法院提起行政诉讼。</w:t>
            </w:r>
          </w:p>
        </w:tc>
      </w:tr>
      <w:tr>
        <w:trPr>
          <w:trHeight w:val="228"/>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备注</w:t>
            </w:r>
          </w:p>
        </w:tc>
        <w:tc>
          <w:tcPr>
            <w:tcW w:w="9263" w:type="dxa"/>
            <w:gridSpan w:val="8"/>
            <w:tcBorders>
              <w:tl2br w:val="nil"/>
              <w:tr2bl w:val="nil"/>
            </w:tcBorders>
            <w:shd w:val="clear" w:color="auto" w:fill="auto"/>
            <w:vAlign w:val="center"/>
          </w:tcPr>
          <w:p>
            <w:pPr>
              <w:widowControl/>
              <w:jc w:val="left"/>
              <w:textAlignment w:val="center"/>
              <w:rPr>
                <w:rFonts w:ascii="黑体" w:eastAsia="黑体" w:cs="黑体"/>
                <w:color w:val="000000"/>
                <w:kern w:val="0"/>
                <w:sz w:val="18"/>
                <w:szCs w:val="18"/>
              </w:rPr>
            </w:pPr>
          </w:p>
        </w:tc>
      </w:tr>
    </w:tbl>
    <w:p>
      <w:pPr>
        <w:spacing w:line="220" w:lineRule="atLeast"/>
      </w:pPr>
    </w:p>
    <w:sectPr>
      <w:pgSz w:w="11906" w:h="16838"/>
      <w:pgMar w:top="720" w:right="720" w:bottom="720" w:left="720" w:header="708" w:footer="708" w:gutter="0"/>
      <w:cols w:num="1" w:space="708"/>
      <w:docGrid w:linePitch="360" w:charSpace="0"/>
    </w:sectPr>
  </w:body>
</w:document>
</file>

<file path=word/fontTable.xml><?xml version="1.0" encoding="utf-8"?>
<w:fonts xmlns:w="http://schemas.openxmlformats.org/wordprocessingml/2006/main" xmlns:r="http://schemas.openxmlformats.org/officeDocument/2006/relationships">
  <w:font w:name="方正小标宋简体">
    <w:altName w:val="方正小标宋_GBK"/>
    <w:panose1 w:val="03000509000000000000"/>
    <w:charset w:val="86"/>
    <w:family w:val="script"/>
    <w:pitch w:val="variable"/>
    <w:sig w:usb0="00000001" w:usb1="080E0000" w:usb2="00000000" w:usb3="00000000" w:csb0="00040000" w:csb1="00000000"/>
  </w:font>
  <w:font w:name="黑体">
    <w:panose1 w:val="02010609060101010101"/>
    <w:charset w:val="86"/>
    <w:family w:val="auto"/>
    <w:pitch w:val="variable"/>
    <w:sig w:usb0="800002BF" w:usb1="38CF7CFA" w:usb2="00000016" w:usb3="00000000" w:csb0="00040001" w:csb1="00000000"/>
  </w:font>
  <w:font w:name="Calibri">
    <w:panose1 w:val="020F0502020204030204"/>
    <w:charset w:val="00"/>
    <w:family w:val="swiss"/>
    <w:pitch w:val="variable"/>
    <w:sig w:usb0="E00002FF" w:usb1="4000ACFF" w:usb2="00000001" w:usb3="00000000" w:csb0="2000019F" w:csb1="00000000"/>
  </w:font>
  <w:font w:name="仿宋_GB2312">
    <w:altName w:val="仿宋"/>
    <w:panose1 w:val="02010609030101010101"/>
    <w:charset w:val="86"/>
    <w:family w:val="modern"/>
    <w:pitch w:val="variable"/>
    <w:sig w:usb0="00000001" w:usb1="080E0000" w:usb2="00000000" w:usb3="00000000" w:csb0="00040000" w:csb1="00000000"/>
  </w:font>
  <w:font w:name="仿宋">
    <w:panose1 w:val="02010609060101010101"/>
    <w:charset w:val="86"/>
    <w:family w:val="auto"/>
    <w:pitch w:val="variable"/>
    <w:sig w:usb0="800002BF" w:usb1="38CF7CFA" w:usb2="00000016" w:usb3="00000000" w:csb0="00040001" w:csb1="00000000"/>
  </w:font>
  <w:font w:name="Times New Roman">
    <w:panose1 w:val="02020603050405020304"/>
    <w:charset w:val="00"/>
    <w:family w:val="auto"/>
    <w:pitch w:val="variable"/>
    <w:sig w:usb0="00000A87" w:usb1="00000000" w:usb2="00000000" w:usb3="00000000" w:csb0="400001BF" w:csb1="DFF70000"/>
  </w:font>
  <w:font w:name="宋体">
    <w:panose1 w:val="02010600030101010101"/>
    <w:charset w:val="86"/>
    <w:family w:val="auto"/>
    <w:pitch w:val="variable"/>
    <w:sig w:usb0="00000003" w:usb1="080E0000" w:usb2="00000000" w:usb3="00000000" w:csb0="00040001" w:csb1="00000000"/>
  </w:font>
  <w:font w:name="Arial">
    <w:panose1 w:val="020B0604020202020204"/>
    <w:charset w:val="01"/>
    <w:family w:val="swiss"/>
    <w:pitch w:val="variable"/>
    <w:sig w:usb0="E0002AFF" w:usb1="C0007843" w:usb2="00000009" w:usb3="00000000" w:csb0="400001FF" w:csb1="FFFF0000"/>
  </w:font>
  <w:font w:name="Tahoma">
    <w:panose1 w:val="020B0604030504040204"/>
    <w:charset w:val="00"/>
    <w:family w:val="swiss"/>
    <w:pitch w:val="variable"/>
    <w:sig w:usb0="E1002EFF" w:usb1="C000605B" w:usb2="00000029" w:usb3="00000000" w:csb0="200101FF" w:csb1="20280000"/>
  </w:font>
  <w:font w:name="微软雅黑">
    <w:panose1 w:val="020B0503020204020204"/>
    <w:charset w:val="86"/>
    <w:family w:val="swiss"/>
    <w:pitch w:val="variable"/>
    <w:sig w:usb0="80000287" w:usb1="280F3C52" w:usb2="00000016" w:usb3="00000000" w:csb0="0004001F"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720"/>
  <w:drawingGridHorizontalSpacing w:val="110"/>
  <w:drawingGridVerticalSpacing w:val="156"/>
  <w:displayHorizontalDrawingGridEvery w:val="0"/>
  <w:displayVerticalDrawingGridEvery w:val="1"/>
  <w:compat>
    <w:compatSetting w:name="compatibilityMode" w:uri="http://schemas.microsoft.com/office/word" w:val="12"/>
  </w:compat>
  <w:docVars>
    <w:docVar w:name="commondata" w:val="eyJoZGlkIjoiMzhjZGM4NWU5YjQzMDRhODI2MDc4MjM4NWZhZjE0YjA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Arial"/>
        <w:lang w:val="en-US" w:eastAsia="zh-CN" w:bidi="ar-SA"/>
      </w:rPr>
    </w:rPrDefault>
    <w:pPrDefault/>
  </w:docDefaults>
  <w:style w:type="paragraph" w:default="1" w:styleId="0">
    <w:name w:val="Normal"/>
    <w:pPr>
      <w:adjustRightInd w:val="0"/>
      <w:snapToGrid w:val="0"/>
      <w:spacing w:after="200" w:line="240" w:lineRule="auto"/>
    </w:pPr>
    <w:rPr>
      <w:rFonts w:ascii="Tahoma" w:eastAsia="微软雅黑" w:cs="Arial" w:hAnsi="Tahoma"/>
      <w:sz w:val="22"/>
      <w:szCs w:val="22"/>
      <w:lang w:val="en-US" w:eastAsia="zh-CN" w:bidi="ar-SA"/>
    </w:rPr>
  </w:style>
  <w:style w:type="paragraph" w:styleId="1">
    <w:name w:val="heading 1"/>
    <w:basedOn w:val="0"/>
    <w:next w:val="0"/>
    <w:pPr>
      <w:keepNext/>
      <w:keepLines/>
      <w:spacing w:before="340" w:after="330" w:line="578" w:lineRule="auto"/>
      <w:outlineLvl w:val="0"/>
    </w:pPr>
    <w:rPr>
      <w:b/>
      <w:bCs/>
      <w:kern w:val="44"/>
      <w:sz w:val="44"/>
      <w:szCs w:val="44"/>
    </w:rPr>
  </w:style>
  <w:style w:type="paragraph" w:styleId="2">
    <w:name w:val="heading 2"/>
    <w:basedOn w:val="0"/>
    <w:next w:val="0"/>
    <w:pPr>
      <w:keepNext/>
      <w:keepLines/>
      <w:spacing w:before="260" w:after="260" w:line="415" w:lineRule="auto"/>
      <w:outlineLvl w:val="1"/>
    </w:pPr>
    <w:rPr>
      <w:rFonts w:ascii="Times New Roman" w:eastAsia="黑体" w:hAnsi="Times New Roman"/>
      <w:b/>
      <w:bCs/>
      <w:sz w:val="32"/>
      <w:szCs w:val="32"/>
    </w:rPr>
  </w:style>
  <w:style w:type="paragraph" w:styleId="3">
    <w:name w:val="heading 3"/>
    <w:basedOn w:val="0"/>
    <w:next w:val="0"/>
    <w:pPr>
      <w:keepNext/>
      <w:keepLines/>
      <w:spacing w:before="260" w:after="260" w:line="415" w:lineRule="auto"/>
      <w:outlineLvl w:val="2"/>
    </w:pPr>
    <w:rPr>
      <w:b/>
      <w:bCs/>
      <w:sz w:val="32"/>
      <w:szCs w:val="32"/>
    </w:rPr>
  </w:style>
  <w:style w:type="character" w:default="1" w:styleId="10">
    <w:name w:val="Default Paragraph Font"/>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ustomData xmlns="http://www.yozosoft.com.cn/officeDocument/2016/customData">
  <customProps>
    <docPr revisions="3 0 5 0 0 0 1 0 0 0 3000 0 1 1 1 1"/>
    <sectPr/>
  </customProps>
</customData>
</file>

<file path=customXml/itemProps1.xml><?xml version="1.0" encoding="utf-8"?>
<ds:datastoreItem xmlns:ds="http://schemas.openxmlformats.org/officeDocument/2006/customXml" ds:itemID="{E5396CC7-BC63-45B3-A8D1-5C0A557A0F0F}">
  <ds:schemaRefs>
    <ds:schemaRef ds:uri="http://www.yozosoft.com.cn/officeDocument/2016/customData"/>
  </ds:schemaRefs>
</ds:datastoreItem>
</file>

<file path=docProps/app.xml><?xml version="1.0" encoding="utf-8"?>
<Properties xmlns="http://schemas.openxmlformats.org/officeDocument/2006/extended-properties">
  <Template>Normal.eit</Template>
  <TotalTime>1</TotalTime>
  <Application>Yozo_Office27021597764231179</Application>
  <Pages>1</Pages>
  <Words>0</Words>
  <Characters>941</Characters>
  <Lines>0</Lines>
  <Paragraphs>3</Paragraphs>
  <CharactersWithSpaces>1255</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Administrator</dc:creator>
  <cp:lastModifiedBy>hp</cp:lastModifiedBy>
  <cp:revision>0</cp:revision>
  <dcterms:created xsi:type="dcterms:W3CDTF">2008-09-11T17:20:00Z</dcterms:created>
  <dcterms:modified xsi:type="dcterms:W3CDTF">2024-09-27T07:48:25Z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9EE095AF39B545CC96D15BB2508DCB4C_12</vt:lpwstr>
  </property>
</Properties>
</file>