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widowControl/>
        <w:spacing w:line="240" w:lineRule="auto"/>
        <w:jc w:val="center"/>
        <w:textAlignment w:val="center"/>
        <w:rPr>
          <w:rFonts w:ascii="方正小标宋简体" w:eastAsia="方正小标宋简体" w:cs="方正小标宋简体"/>
          <w:color w:val="000000"/>
          <w:kern w:val="0"/>
          <w:sz w:val="32"/>
          <w:szCs w:val="32"/>
        </w:rPr>
      </w:pPr>
      <w:r>
        <w:rPr>
          <w:rFonts w:ascii="方正小标宋简体" w:eastAsia="方正小标宋简体" w:cs="方正小标宋简体" w:hint="eastAsia"/>
          <w:color w:val="000000"/>
          <w:kern w:val="0"/>
          <w:sz w:val="32"/>
          <w:szCs w:val="32"/>
        </w:rPr>
        <w:t>履职行权规程</w:t>
      </w:r>
    </w:p>
    <w:tbl>
      <w:tblPr>
        <w:jc w:val="center"/>
        <w:tblW w:w="106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Pr>
      <w:tblGrid>
        <w:gridCol w:w="1392"/>
        <w:gridCol w:w="1170"/>
        <w:gridCol w:w="700"/>
        <w:gridCol w:w="1691"/>
        <w:gridCol w:w="1963"/>
        <w:gridCol w:w="1203"/>
        <w:gridCol w:w="215"/>
        <w:gridCol w:w="850"/>
        <w:gridCol w:w="1471"/>
      </w:tblGrid>
      <w:tr>
        <w:trPr>
          <w:trHeight w:val="319"/>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编号</w:t>
            </w:r>
          </w:p>
        </w:tc>
        <w:tc>
          <w:tcPr>
            <w:tcW w:w="1870"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b/>
                <w:bCs/>
                <w:color w:val="000000"/>
                <w:kern w:val="0"/>
                <w:sz w:val="21"/>
                <w:szCs w:val="21"/>
                <w:lang w:val="en-US" w:eastAsia="zh-CN"/>
              </w:rPr>
            </w:pPr>
          </w:p>
        </w:tc>
        <w:tc>
          <w:tcPr>
            <w:tcW w:w="1691"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权力类型</w:t>
            </w:r>
          </w:p>
        </w:tc>
        <w:tc>
          <w:tcPr>
            <w:tcW w:w="1963"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仿宋_GB2312" w:eastAsia="仿宋_GB2312" w:cs="仿宋_GB2312" w:hAnsi="宋体" w:hint="eastAsia"/>
                <w:i w:val="0"/>
                <w:color w:val="000000"/>
                <w:kern w:val="0"/>
                <w:sz w:val="20"/>
                <w:szCs w:val="20"/>
                <w:u w:val="none"/>
                <w:lang w:val="en-US" w:eastAsia="zh-CN"/>
              </w:rPr>
              <w:t>行政处罚</w:t>
            </w:r>
          </w:p>
        </w:tc>
        <w:tc>
          <w:tcPr>
            <w:tcW w:w="1418"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实施主体</w:t>
            </w:r>
          </w:p>
        </w:tc>
        <w:tc>
          <w:tcPr>
            <w:tcW w:w="2321"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仿宋_GB2312" w:eastAsia="仿宋_GB2312" w:cs="仿宋_GB2312" w:hAnsi="宋体" w:hint="eastAsia"/>
                <w:i w:val="0"/>
                <w:color w:val="000000"/>
                <w:kern w:val="0"/>
                <w:sz w:val="20"/>
                <w:szCs w:val="20"/>
                <w:u w:val="none"/>
                <w:lang w:val="en-US" w:eastAsia="zh-CN"/>
              </w:rPr>
              <w:t>昌黎县自然资源和规划局</w:t>
            </w:r>
          </w:p>
        </w:tc>
      </w:tr>
      <w:tr>
        <w:trPr>
          <w:trHeight w:val="90"/>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事项名称</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center"/>
              <w:textAlignment w:val="center"/>
              <w:rPr>
                <w:rFonts w:ascii="仿宋_GB2312" w:eastAsia="仿宋_GB2312" w:cs="仿宋_GB2312" w:hAnsi="宋体"/>
                <w:i w:val="0"/>
                <w:color w:val="000000"/>
                <w:kern w:val="0"/>
                <w:sz w:val="20"/>
                <w:szCs w:val="20"/>
                <w:u w:val="none"/>
                <w:lang w:val="en-US" w:eastAsia="zh-CN"/>
              </w:rPr>
            </w:pPr>
            <w:r>
              <w:rPr>
                <w:rFonts w:ascii="仿宋_GB2312" w:eastAsia="仿宋_GB2312" w:cs="仿宋_GB2312" w:hAnsi="宋体"/>
                <w:i w:val="0"/>
                <w:color w:val="000000"/>
                <w:kern w:val="0"/>
                <w:sz w:val="20"/>
                <w:szCs w:val="20"/>
                <w:u w:val="none"/>
                <w:lang w:val="en-US" w:eastAsia="zh-CN"/>
              </w:rPr>
              <w:t>对接受调查的单位和个人转移、隐匿、篡改、毁弃原始记录、土地登记簿等相关资料的行政处罚</w:t>
            </w:r>
          </w:p>
        </w:tc>
      </w:tr>
      <w:tr>
        <w:trPr>
          <w:trHeight w:val="405"/>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管辖范围</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center"/>
              <w:textAlignment w:val="center"/>
              <w:rPr>
                <w:rFonts w:ascii="仿宋_GB2312" w:eastAsia="仿宋_GB2312" w:cs="仿宋_GB2312" w:hAnsi="宋体"/>
                <w:i w:val="0"/>
                <w:color w:val="000000"/>
                <w:kern w:val="0"/>
                <w:sz w:val="20"/>
                <w:szCs w:val="20"/>
                <w:u w:val="none"/>
                <w:lang w:val="en-US" w:eastAsia="zh-CN"/>
              </w:rPr>
            </w:pPr>
            <w:r>
              <w:rPr>
                <w:rFonts w:ascii="仿宋_GB2312" w:eastAsia="仿宋_GB2312" w:cs="仿宋_GB2312" w:hAnsi="宋体" w:hint="eastAsia"/>
                <w:i w:val="0"/>
                <w:color w:val="000000"/>
                <w:kern w:val="0"/>
                <w:sz w:val="20"/>
                <w:szCs w:val="20"/>
                <w:u w:val="none"/>
                <w:lang w:val="en-US" w:eastAsia="zh-CN"/>
              </w:rPr>
              <w:t>昌黎县自然资源和规划局</w:t>
            </w:r>
          </w:p>
        </w:tc>
      </w:tr>
      <w:tr>
        <w:trPr>
          <w:trHeight w:val="1997"/>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履职依据</w:t>
            </w:r>
          </w:p>
        </w:tc>
        <w:tc>
          <w:tcPr>
            <w:tcW w:w="9263" w:type="dxa"/>
            <w:gridSpan w:val="8"/>
            <w:tcBorders>
              <w:tl2br w:val="nil"/>
              <w:tr2bl w:val="nil"/>
            </w:tcBorders>
            <w:shd w:val="clear" w:color="auto" w:fill="auto"/>
            <w:vAlign w:val="center"/>
          </w:tcPr>
          <w:p>
            <w:pPr>
              <w:widowControl w:val="0"/>
              <w:adjustRightInd/>
              <w:snapToGrid/>
              <w:spacing w:after="0" w:line="240" w:lineRule="exact"/>
              <w:jc w:val="both"/>
              <w:rPr>
                <w:rFonts w:ascii="黑体" w:eastAsia="黑体" w:cs="仿宋_GB2312" w:hAnsi="黑体" w:hint="eastAsia"/>
                <w:kern w:val="0"/>
                <w:sz w:val="18"/>
                <w:szCs w:val="18"/>
              </w:rPr>
            </w:pPr>
            <w:r>
              <w:rPr>
                <w:rFonts w:ascii="黑体" w:eastAsia="黑体" w:cs="仿宋_GB2312" w:hAnsi="黑体" w:hint="eastAsia"/>
                <w:kern w:val="0"/>
                <w:sz w:val="18"/>
                <w:szCs w:val="18"/>
              </w:rPr>
              <w:t>【法律法规】</w:t>
            </w:r>
          </w:p>
          <w:p>
            <w:pPr>
              <w:widowControl w:val="0"/>
              <w:adjustRightInd/>
              <w:snapToGrid/>
              <w:spacing w:after="0" w:line="240" w:lineRule="exact"/>
              <w:jc w:val="both"/>
              <w:rPr>
                <w:rFonts w:ascii="仿宋_GB2312" w:eastAsia="仿宋_GB2312" w:cs="黑体" w:hAnsi="Calibri" w:hint="eastAsia"/>
                <w:color w:val="000000"/>
                <w:kern w:val="0"/>
                <w:sz w:val="18"/>
                <w:szCs w:val="18"/>
              </w:rPr>
            </w:pPr>
            <w:r>
              <w:rPr>
                <w:rFonts w:ascii="仿宋_GB2312" w:eastAsia="仿宋_GB2312" w:cs="黑体" w:hAnsi="Calibri" w:hint="eastAsia"/>
                <w:color w:val="000000"/>
                <w:kern w:val="0"/>
                <w:sz w:val="18"/>
                <w:szCs w:val="18"/>
              </w:rPr>
              <w:t>《</w:t>
            </w:r>
            <w:r>
              <w:rPr>
                <w:rFonts w:ascii="仿宋_GB2312" w:eastAsia="仿宋_GB2312" w:cs="黑体" w:hAnsi="Calibri"/>
                <w:color w:val="000000"/>
                <w:kern w:val="0"/>
                <w:sz w:val="18"/>
                <w:szCs w:val="18"/>
              </w:rPr>
              <w:t>中华人民共和国</w:t>
            </w:r>
            <w:r>
              <w:rPr>
                <w:rFonts w:ascii="仿宋_GB2312" w:eastAsia="仿宋_GB2312" w:cs="黑体" w:hAnsi="Calibri" w:hint="eastAsia"/>
                <w:color w:val="000000"/>
                <w:kern w:val="0"/>
                <w:sz w:val="18"/>
                <w:szCs w:val="18"/>
              </w:rPr>
              <w:t>土地调查条例》（2008年2月国务院令第518号，2018年3月国务院第二次修订）第十七条：“接受调查的有关单位和个人应当如实回答询问，履行现场指界义务，按照要求提供相关资料，不得转移、隐匿、篡改、毁弃原始记录和土地登记簿等相关资料。”</w:t>
            </w:r>
          </w:p>
          <w:p>
            <w:pPr>
              <w:widowControl w:val="0"/>
              <w:adjustRightInd/>
              <w:snapToGrid/>
              <w:spacing w:after="0" w:line="240" w:lineRule="exact"/>
              <w:jc w:val="both"/>
              <w:rPr>
                <w:rFonts w:ascii="仿宋_GB2312" w:eastAsia="仿宋_GB2312" w:cs="黑体" w:hAnsi="Calibri" w:hint="eastAsia"/>
                <w:color w:val="000000"/>
                <w:kern w:val="0"/>
                <w:sz w:val="18"/>
                <w:szCs w:val="18"/>
              </w:rPr>
            </w:pPr>
            <w:r>
              <w:rPr>
                <w:rFonts w:ascii="仿宋_GB2312" w:eastAsia="仿宋_GB2312" w:cs="黑体" w:hAnsi="Calibri" w:hint="eastAsia"/>
                <w:color w:val="000000"/>
                <w:kern w:val="0"/>
                <w:sz w:val="18"/>
                <w:szCs w:val="18"/>
              </w:rPr>
              <w:t>第三十二条：“接受调查的单位和个人有下列行为之一的，由县级以上人民政府国土资源主管部门责令限期改正，可以处5万元以下的罚款；构成违反治安管理行为的，由公安机关依法给予治安管理处罚；构成犯罪的，依法追究刑事责任：（一）拒绝或者阻挠土地调查人员依法进行调查的；（二）提供虚假调查资料的；（三）拒绝提供调查资料的；(四)转移、隐匿、篡改、毁弃原始记录、土地登记簿等相关资料的。 ”</w:t>
            </w:r>
          </w:p>
          <w:p>
            <w:pPr>
              <w:widowControl w:val="0"/>
              <w:adjustRightInd/>
              <w:snapToGrid/>
              <w:spacing w:after="0" w:line="240" w:lineRule="exact"/>
              <w:jc w:val="both"/>
              <w:rPr>
                <w:rFonts w:ascii="仿宋_GB2312" w:eastAsia="仿宋_GB2312" w:cs="黑体" w:hAnsi="Calibri" w:hint="eastAsia"/>
                <w:color w:val="000000"/>
                <w:kern w:val="0"/>
                <w:sz w:val="18"/>
                <w:szCs w:val="18"/>
              </w:rPr>
            </w:pPr>
            <w:r>
              <w:rPr>
                <w:rFonts w:ascii="仿宋_GB2312" w:eastAsia="仿宋_GB2312" w:cs="黑体" w:hAnsi="Calibri" w:hint="eastAsia"/>
                <w:color w:val="000000"/>
                <w:kern w:val="0"/>
                <w:sz w:val="18"/>
                <w:szCs w:val="18"/>
              </w:rPr>
              <w:t>《</w:t>
            </w:r>
            <w:r>
              <w:rPr>
                <w:rFonts w:ascii="仿宋_GB2312" w:eastAsia="仿宋_GB2312" w:cs="黑体" w:hAnsi="Calibri"/>
                <w:color w:val="000000"/>
                <w:kern w:val="0"/>
                <w:sz w:val="18"/>
                <w:szCs w:val="18"/>
              </w:rPr>
              <w:t>中华人民共和国</w:t>
            </w:r>
            <w:bookmarkStart w:id="0" w:name="_GoBack"/>
            <w:bookmarkEnd w:id="0"/>
            <w:r>
              <w:rPr>
                <w:rFonts w:ascii="仿宋_GB2312" w:eastAsia="仿宋_GB2312" w:cs="黑体" w:hAnsi="Calibri" w:hint="eastAsia"/>
                <w:color w:val="000000"/>
                <w:kern w:val="0"/>
                <w:sz w:val="18"/>
                <w:szCs w:val="18"/>
              </w:rPr>
              <w:t>土地调查条例实施办法》（2009年5月国土资源部令第45号）</w:t>
            </w:r>
          </w:p>
          <w:p>
            <w:pPr>
              <w:widowControl w:val="0"/>
              <w:adjustRightInd/>
              <w:snapToGrid/>
              <w:spacing w:after="0" w:line="240" w:lineRule="exact"/>
              <w:jc w:val="both"/>
              <w:rPr>
                <w:rFonts w:ascii="仿宋_GB2312" w:eastAsia="仿宋_GB2312" w:cs="黑体" w:hAnsi="Calibri" w:hint="eastAsia"/>
                <w:color w:val="000000"/>
                <w:kern w:val="0"/>
                <w:sz w:val="18"/>
                <w:szCs w:val="18"/>
              </w:rPr>
            </w:pPr>
            <w:r>
              <w:rPr>
                <w:rFonts w:ascii="仿宋_GB2312" w:eastAsia="仿宋_GB2312" w:cs="黑体" w:hAnsi="Calibri" w:hint="eastAsia"/>
                <w:color w:val="000000"/>
                <w:kern w:val="0"/>
                <w:sz w:val="18"/>
                <w:szCs w:val="18"/>
              </w:rPr>
              <w:t>第三十二条：“接受土地调查的单位和个人违反条例第十七条的规定，无正当理由不履行现场指界义务的，由县级以上人民政府国土资源行政主管部门责令限期改正，逾期不改正的，依照条例第三十二条的规定进行处罚。”</w:t>
            </w:r>
          </w:p>
          <w:p>
            <w:pPr>
              <w:widowControl w:val="0"/>
              <w:adjustRightInd/>
              <w:snapToGrid/>
              <w:spacing w:after="0" w:line="240" w:lineRule="exact"/>
              <w:jc w:val="both"/>
              <w:rPr>
                <w:rFonts w:ascii="黑体" w:eastAsia="黑体" w:cs="仿宋_GB2312" w:hAnsi="黑体" w:hint="eastAsia"/>
                <w:kern w:val="0"/>
                <w:sz w:val="18"/>
                <w:szCs w:val="18"/>
              </w:rPr>
            </w:pPr>
            <w:r>
              <w:rPr>
                <w:rFonts w:ascii="黑体" w:eastAsia="黑体" w:cs="仿宋_GB2312" w:hAnsi="黑体" w:hint="eastAsia"/>
                <w:kern w:val="0"/>
                <w:sz w:val="18"/>
                <w:szCs w:val="18"/>
              </w:rPr>
              <w:t>【三定规定】</w:t>
            </w:r>
          </w:p>
          <w:p>
            <w:pPr>
              <w:widowControl w:val="0"/>
              <w:adjustRightInd/>
              <w:snapToGrid/>
              <w:spacing w:after="0" w:line="240" w:lineRule="exact"/>
              <w:jc w:val="both"/>
              <w:rPr>
                <w:rFonts w:ascii="仿宋_GB2312" w:eastAsia="仿宋_GB2312" w:cs="黑体"/>
                <w:b/>
                <w:bCs/>
                <w:color w:val="000000"/>
                <w:szCs w:val="21"/>
              </w:rPr>
            </w:pPr>
            <w:r>
              <w:rPr>
                <w:rFonts w:ascii="仿宋_GB2312" w:eastAsia="仿宋_GB2312" w:cs="黑体" w:hAnsi="黑体" w:hint="eastAsia"/>
                <w:color w:val="000000"/>
                <w:kern w:val="2"/>
                <w:sz w:val="18"/>
                <w:szCs w:val="18"/>
              </w:rPr>
              <w:t>昌办字〔2019〕39号第（三十三）条。</w:t>
            </w:r>
          </w:p>
        </w:tc>
      </w:tr>
      <w:tr>
        <w:trPr>
          <w:trHeight w:val="225"/>
        </w:trPr>
        <w:tc>
          <w:tcPr>
            <w:tcW w:w="1392"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履职流程</w:t>
            </w:r>
          </w:p>
        </w:tc>
        <w:tc>
          <w:tcPr>
            <w:tcW w:w="117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办理环节</w:t>
            </w:r>
          </w:p>
        </w:tc>
        <w:tc>
          <w:tcPr>
            <w:tcW w:w="5557" w:type="dxa"/>
            <w:gridSpan w:val="4"/>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办理内容</w:t>
            </w:r>
          </w:p>
        </w:tc>
        <w:tc>
          <w:tcPr>
            <w:tcW w:w="1065"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办理时限</w:t>
            </w:r>
          </w:p>
        </w:tc>
        <w:tc>
          <w:tcPr>
            <w:tcW w:w="1471"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责任科室</w:t>
            </w:r>
          </w:p>
        </w:tc>
      </w:tr>
      <w:tr>
        <w:trPr>
          <w:trHeight w:val="474"/>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立案</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经初步了解案件后，依法立案或不予立案（不予立案应当告知理由）</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5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调查取证</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制作现场勘验笔录、调查询问笔录、搜集相关文件资料、现场拍照录像等</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8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审查</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执法主体是否合法、事实是否清楚、证据是否合法充分、适用法律是否准确、执法程序是否合法等</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8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决定</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制作事先告知书（听证告知书）、处罚决定书</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54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送达</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送达相关文书，告知行政复议和行政诉讼等救济权利</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3036"/>
        </w:trPr>
        <w:tc>
          <w:tcPr>
            <w:tcW w:w="1392"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ascii="黑体" w:eastAsia="黑体" w:cs="黑体" w:hint="eastAsia"/>
                <w:b/>
                <w:bCs/>
                <w:color w:val="000000"/>
                <w:kern w:val="0"/>
                <w:szCs w:val="21"/>
              </w:rPr>
              <w:t>追责情形</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因不履行或不正确履行行政职责，有下列情形的，行政机关及相关工作人员应承担相应责任：</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1、没有法律和事实依据实施行政处罚的；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2、擅自改变行政处罚种类、幅度的；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3、违反法定程序进行行政处罚的；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4、违反委托处罚规定的；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5、对违法行为未依法制止的；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6、应当依法立案查处，无正当理由未依法立案查处的；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7、在制止以及查处违法案件中受阻，依照有关规定应当向本级人民政府或者上级国土资源主管部门报告而未报告的；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8、符合听证条件、行政管理相对人要求听证，应予组织听证而不组织听证的。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9、应当依法进行行政处罚而未依法处罚的；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10、应当依法移送追究刑事责任，而未依法移送有权机关的；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11、在行政处罚过程中发生腐败行为的；</w:t>
            </w:r>
          </w:p>
          <w:p>
            <w:pPr>
              <w:keepNext w:val="0"/>
              <w:keepLines w:val="0"/>
              <w:widowControl/>
              <w:suppressLineNumbers w:val="0"/>
              <w:adjustRightInd/>
              <w:snapToGrid/>
              <w:spacing w:after="0" w:line="240" w:lineRule="auto"/>
              <w:jc w:val="left"/>
              <w:textAlignment w:val="center"/>
              <w:rPr>
                <w:rFonts w:ascii="仿宋" w:eastAsia="仿宋" w:cs="仿宋" w:hAnsi="仿宋"/>
                <w:i w:val="0"/>
                <w:color w:val="000000"/>
                <w:kern w:val="2"/>
                <w:sz w:val="16"/>
                <w:szCs w:val="16"/>
                <w:u w:val="none"/>
                <w:lang w:val="en-US" w:eastAsia="zh-CN" w:bidi="ar-SA"/>
              </w:rPr>
            </w:pPr>
            <w:r>
              <w:rPr>
                <w:rFonts w:ascii="仿宋" w:eastAsia="仿宋" w:cs="仿宋" w:hAnsi="仿宋" w:hint="eastAsia"/>
                <w:i w:val="0"/>
                <w:color w:val="000000"/>
                <w:kern w:val="0"/>
                <w:sz w:val="16"/>
                <w:szCs w:val="16"/>
                <w:u w:val="none"/>
                <w:lang w:val="en-US" w:eastAsia="zh-CN"/>
              </w:rPr>
              <w:t>12、其他违反法律法规规章文件规定的行为。</w:t>
            </w:r>
          </w:p>
        </w:tc>
      </w:tr>
      <w:tr>
        <w:trPr>
          <w:trHeight w:val="570"/>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监督方式</w:t>
            </w:r>
          </w:p>
        </w:tc>
        <w:tc>
          <w:tcPr>
            <w:tcW w:w="9263" w:type="dxa"/>
            <w:gridSpan w:val="8"/>
            <w:tcBorders>
              <w:tl2br w:val="nil"/>
              <w:tr2bl w:val="nil"/>
            </w:tcBorders>
            <w:shd w:val="clear" w:color="auto" w:fill="auto"/>
            <w:vAlign w:val="center"/>
          </w:tcPr>
          <w:p>
            <w:pPr>
              <w:widowControl/>
              <w:adjustRightInd/>
              <w:snapToGrid/>
              <w:spacing w:after="0" w:line="240" w:lineRule="exact"/>
              <w:jc w:val="left"/>
              <w:textAlignment w:val="center"/>
              <w:rPr>
                <w:rFonts w:ascii="仿宋_GB2312" w:eastAsia="仿宋_GB2312" w:cs="黑体" w:hAnsi="黑体" w:hint="eastAsia"/>
                <w:color w:val="000000"/>
                <w:kern w:val="0"/>
                <w:sz w:val="18"/>
                <w:szCs w:val="18"/>
              </w:rPr>
            </w:pPr>
            <w:r>
              <w:rPr>
                <w:rFonts w:ascii="仿宋_GB2312" w:eastAsia="仿宋_GB2312" w:cs="黑体" w:hAnsi="黑体" w:hint="eastAsia"/>
                <w:color w:val="000000"/>
                <w:kern w:val="0"/>
                <w:sz w:val="18"/>
                <w:szCs w:val="18"/>
              </w:rPr>
              <w:t>1.业务咨询：0335-2861320</w:t>
              <w:br/>
              <w:t>2.投诉举报电话：0335-2022626</w:t>
            </w:r>
          </w:p>
          <w:p>
            <w:pPr>
              <w:widowControl/>
              <w:adjustRightInd/>
              <w:snapToGrid/>
              <w:spacing w:after="0" w:line="240" w:lineRule="exact"/>
              <w:jc w:val="left"/>
              <w:textAlignment w:val="center"/>
              <w:rPr>
                <w:rFonts w:ascii="黑体" w:eastAsia="黑体" w:cs="黑体"/>
                <w:color w:val="000000"/>
                <w:sz w:val="18"/>
                <w:szCs w:val="18"/>
              </w:rPr>
            </w:pPr>
            <w:r>
              <w:rPr>
                <w:rFonts w:ascii="仿宋_GB2312" w:eastAsia="仿宋_GB2312" w:cs="黑体" w:hAnsi="黑体" w:hint="eastAsia"/>
                <w:color w:val="000000"/>
                <w:kern w:val="0"/>
                <w:sz w:val="18"/>
                <w:szCs w:val="18"/>
              </w:rPr>
              <w:t>3.纪检监察投诉：县纪委第四派驻纪检监察组，电话：0335-2608801</w:t>
            </w:r>
          </w:p>
        </w:tc>
      </w:tr>
      <w:tr>
        <w:trPr>
          <w:trHeight w:val="366"/>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法定救济途径</w:t>
            </w:r>
          </w:p>
        </w:tc>
        <w:tc>
          <w:tcPr>
            <w:tcW w:w="9263" w:type="dxa"/>
            <w:gridSpan w:val="8"/>
            <w:tcBorders>
              <w:tl2br w:val="nil"/>
              <w:tr2bl w:val="nil"/>
            </w:tcBorders>
            <w:shd w:val="clear" w:color="auto" w:fill="auto"/>
            <w:vAlign w:val="center"/>
          </w:tcPr>
          <w:p>
            <w:pPr>
              <w:widowControl/>
              <w:jc w:val="left"/>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1．不服许可决定自知道该具体行政行为之日起六十日内向</w:t>
            </w:r>
            <w:r>
              <w:rPr>
                <w:rFonts w:ascii="仿宋_GB2312" w:eastAsia="仿宋_GB2312" w:cs="仿宋_GB2312" w:hint="eastAsia"/>
                <w:color w:val="000000"/>
                <w:kern w:val="0"/>
                <w:sz w:val="18"/>
                <w:szCs w:val="18"/>
                <w:lang w:eastAsia="zh-CN"/>
              </w:rPr>
              <w:t>县</w:t>
            </w:r>
            <w:r>
              <w:rPr>
                <w:rFonts w:ascii="仿宋_GB2312" w:eastAsia="仿宋_GB2312" w:cs="仿宋_GB2312" w:hint="eastAsia"/>
                <w:color w:val="000000"/>
                <w:kern w:val="0"/>
                <w:sz w:val="18"/>
                <w:szCs w:val="18"/>
              </w:rPr>
              <w:t>政府申请行政复议。</w:t>
            </w:r>
          </w:p>
          <w:p>
            <w:pPr>
              <w:widowControl/>
              <w:jc w:val="left"/>
              <w:textAlignment w:val="center"/>
              <w:rPr>
                <w:rFonts w:ascii="黑体" w:eastAsia="黑体" w:cs="黑体"/>
                <w:b/>
                <w:bCs/>
                <w:color w:val="000000"/>
                <w:sz w:val="18"/>
                <w:szCs w:val="18"/>
              </w:rPr>
            </w:pPr>
            <w:r>
              <w:rPr>
                <w:rFonts w:ascii="仿宋_GB2312" w:eastAsia="仿宋_GB2312" w:cs="仿宋_GB2312" w:hint="eastAsia"/>
                <w:color w:val="000000"/>
                <w:kern w:val="0"/>
                <w:sz w:val="18"/>
                <w:szCs w:val="18"/>
              </w:rPr>
              <w:t>2．不服许可决定应当自知道或者应当知道作出行政行为之日起六个月内提出向</w:t>
            </w:r>
            <w:r>
              <w:rPr>
                <w:rFonts w:ascii="仿宋_GB2312" w:eastAsia="仿宋_GB2312" w:cs="仿宋_GB2312" w:hint="eastAsia"/>
                <w:color w:val="000000"/>
                <w:kern w:val="0"/>
                <w:sz w:val="18"/>
                <w:szCs w:val="18"/>
                <w:lang w:eastAsia="zh-CN"/>
              </w:rPr>
              <w:t>昌黎县</w:t>
            </w:r>
            <w:r>
              <w:rPr>
                <w:rFonts w:ascii="仿宋_GB2312" w:eastAsia="仿宋_GB2312" w:cs="仿宋_GB2312" w:hint="eastAsia"/>
                <w:color w:val="000000"/>
                <w:kern w:val="0"/>
                <w:sz w:val="18"/>
                <w:szCs w:val="18"/>
              </w:rPr>
              <w:t>人民法院提起行政诉讼。</w:t>
            </w:r>
          </w:p>
        </w:tc>
      </w:tr>
      <w:tr>
        <w:trPr>
          <w:trHeight w:val="177"/>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备注</w:t>
            </w:r>
          </w:p>
        </w:tc>
        <w:tc>
          <w:tcPr>
            <w:tcW w:w="9263" w:type="dxa"/>
            <w:gridSpan w:val="8"/>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Pr>
        <w:spacing w:line="220" w:lineRule="atLeast"/>
      </w:pPr>
    </w:p>
    <w:sectPr>
      <w:pgSz w:w="11906" w:h="16838"/>
      <w:pgMar w:top="720" w:right="720" w:bottom="720" w:left="720" w:header="708" w:footer="708" w:gutter="0"/>
      <w:cols w:num="1" w:space="708"/>
      <w:docGrid w:linePitch="360" w:charSpace="0"/>
    </w:sectPr>
  </w:body>
</w:document>
</file>

<file path=word/fontTable.xml><?xml version="1.0" encoding="utf-8"?>
<w:fonts xmlns:w="http://schemas.openxmlformats.org/wordprocessingml/2006/main" xmlns:r="http://schemas.openxmlformats.org/officeDocument/2006/relationships">
  <w:font w:name="方正小标宋简体">
    <w:altName w:val="方正小标宋_GBK"/>
    <w:panose1 w:val="03000509000000000000"/>
    <w:charset w:val="86"/>
    <w:family w:val="script"/>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Calibri">
    <w:panose1 w:val="020F0502020204030204"/>
    <w:charset w:val="00"/>
    <w:family w:val="swiss"/>
    <w:pitch w:val="variable"/>
    <w:sig w:usb0="E00002FF" w:usb1="4000ACFF" w:usb2="00000001" w:usb3="00000000" w:csb0="2000019F" w:csb1="00000000"/>
  </w:font>
  <w:font w:name="仿宋_GB2312">
    <w:altName w:val="仿宋"/>
    <w:panose1 w:val="02010609030101010101"/>
    <w:charset w:val="86"/>
    <w:family w:val="modern"/>
    <w:pitch w:val="variable"/>
    <w:sig w:usb0="00000001" w:usb1="080E0000" w:usb2="00000000" w:usb3="00000000" w:csb0="00040000" w:csb1="00000000"/>
  </w:font>
  <w:font w:name="宋体">
    <w:panose1 w:val="02010600030101010101"/>
    <w:charset w:val="86"/>
    <w:family w:val="auto"/>
    <w:pitch w:val="variable"/>
    <w:sig w:usb0="00000003" w:usb1="080E0000" w:usb2="00000000" w:usb3="00000000" w:csb0="00040001" w:csb1="00000000"/>
  </w:font>
  <w:font w:name="仿宋">
    <w:panose1 w:val="02010609060101010101"/>
    <w:charset w:val="86"/>
    <w:family w:val="auto"/>
    <w:pitch w:val="variable"/>
    <w:sig w:usb0="800002BF" w:usb1="38CF7CFA" w:usb2="00000016" w:usb3="00000000" w:csb0="00040001" w:csb1="00000000"/>
  </w:font>
  <w:font w:name="Times New Roman">
    <w:panose1 w:val="02020603050405020304"/>
    <w:charset w:val="00"/>
    <w:family w:val="auto"/>
    <w:pitch w:val="variable"/>
    <w:sig w:usb0="00000A87" w:usb1="00000000" w:usb2="00000000" w:usb3="00000000" w:csb0="400001BF" w:csb1="DFF70000"/>
  </w:font>
  <w:font w:name="Arial">
    <w:panose1 w:val="020B0604020202020204"/>
    <w:charset w:val="01"/>
    <w:family w:val="swiss"/>
    <w:pitch w:val="variable"/>
    <w:sig w:usb0="E0002AFF" w:usb1="C0007843" w:usb2="00000009" w:usb3="00000000" w:csb0="400001FF" w:csb1="FFFF0000"/>
  </w:font>
  <w:font w:name="Tahoma">
    <w:panose1 w:val="020B0604030504040204"/>
    <w:charset w:val="00"/>
    <w:family w:val="swiss"/>
    <w:pitch w:val="variable"/>
    <w:sig w:usb0="E1002EFF" w:usb1="C000605B" w:usb2="00000029" w:usb3="00000000" w:csb0="200101FF" w:csb1="20280000"/>
  </w:font>
  <w:font w:name="微软雅黑">
    <w:panose1 w:val="020B0503020204020204"/>
    <w:charset w:val="86"/>
    <w:family w:val="swiss"/>
    <w:pitch w:val="variable"/>
    <w:sig w:usb0="80000287" w:usb1="280F3C52" w:usb2="00000016" w:usb3="00000000" w:csb0="0004001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720"/>
  <w:drawingGridHorizontalSpacing w:val="110"/>
  <w:drawingGridVerticalSpacing w:val="156"/>
  <w:displayHorizontalDrawingGridEvery w:val="0"/>
  <w:displayVerticalDrawingGridEvery w:val="1"/>
  <w:compat>
    <w:compatSetting w:name="compatibilityMode" w:uri="http://schemas.microsoft.com/office/word" w:val="12"/>
  </w:compat>
  <w:docVars>
    <w:docVar w:name="commondata" w:val="eyJoZGlkIjoiMzhjZGM4NWU5YjQzMDRhODI2MDc4MjM4NWZhZjE0YjA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adjustRightInd w:val="0"/>
      <w:snapToGrid w:val="0"/>
      <w:spacing w:after="200" w:line="240" w:lineRule="auto"/>
    </w:pPr>
    <w:rPr>
      <w:rFonts w:ascii="Tahoma" w:eastAsia="微软雅黑" w:cs="Arial" w:hAnsi="Tahoma"/>
      <w:sz w:val="22"/>
      <w:szCs w:val="22"/>
      <w:lang w:val="en-US" w:eastAsia="zh-CN" w:bidi="ar-SA"/>
    </w:rPr>
  </w:style>
  <w:style w:type="paragraph" w:styleId="1">
    <w:name w:val="heading 1"/>
    <w:basedOn w:val="0"/>
    <w:next w:val="0"/>
    <w:pPr>
      <w:keepNext/>
      <w:keepLines/>
      <w:spacing w:before="340" w:after="330" w:line="578" w:lineRule="auto"/>
      <w:outlineLvl w:val="0"/>
    </w:pPr>
    <w:rPr>
      <w:b/>
      <w:bCs/>
      <w:kern w:val="44"/>
      <w:sz w:val="44"/>
      <w:szCs w:val="44"/>
    </w:rPr>
  </w:style>
  <w:style w:type="paragraph" w:styleId="2">
    <w:name w:val="heading 2"/>
    <w:basedOn w:val="0"/>
    <w:next w:val="0"/>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EAE711FC-FD8B-4903-BEEF-35074109F4B2}">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2</TotalTime>
  <Application>Yozo_Office27021597764231179</Application>
  <Pages>1</Pages>
  <Words>0</Words>
  <Characters>1054</Characters>
  <Lines>0</Lines>
  <Paragraphs>3</Paragraphs>
  <CharactersWithSpaces>1406</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hp</cp:lastModifiedBy>
  <cp:revision>0</cp:revision>
  <dcterms:created xsi:type="dcterms:W3CDTF">2008-09-11T17:20:00Z</dcterms:created>
  <dcterms:modified xsi:type="dcterms:W3CDTF">2024-09-27T08:05:35Z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4C134BDCA5814D4AB032F3814F07F22D_12</vt:lpwstr>
  </property>
</Properties>
</file>