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hint="eastAsia"/>
          <w:color w:val="000000"/>
          <w:kern w:val="0"/>
          <w:sz w:val="32"/>
          <w:szCs w:val="32"/>
        </w:rPr>
      </w:pPr>
    </w:p>
    <w:p>
      <w:pPr>
        <w:widowControl/>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963"/>
        <w:gridCol w:w="851"/>
        <w:gridCol w:w="567"/>
        <w:gridCol w:w="850"/>
        <w:gridCol w:w="1568"/>
      </w:tblGrid>
      <w:tr>
        <w:trPr>
          <w:trHeight w:hRule="exact" w:val="417"/>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hint="eastAsia"/>
                <w:b/>
                <w:bCs/>
                <w:color w:val="000000"/>
                <w:szCs w:val="21"/>
                <w:lang w:val="en-US" w:eastAsia="zh-CN"/>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2418"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昌黎县自然资源和规划局</w:t>
            </w:r>
          </w:p>
        </w:tc>
      </w:tr>
      <w:tr>
        <w:trPr>
          <w:trHeight w:hRule="exact" w:val="47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9181" w:type="dxa"/>
            <w:gridSpan w:val="8"/>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对买卖或者以其他形式非法转让土地的行政处罚</w:t>
            </w:r>
          </w:p>
        </w:tc>
      </w:tr>
      <w:tr>
        <w:trPr>
          <w:trHeight w:hRule="exact" w:val="668"/>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9181" w:type="dxa"/>
            <w:gridSpan w:val="8"/>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市级以上重点项目、跨乡镇区违法用地案件、黄金海岸北区由自然资源和规划局负责；</w:t>
            </w:r>
          </w:p>
          <w:p>
            <w:pPr>
              <w:widowControl w:val="0"/>
              <w:adjustRightInd/>
              <w:snapToGrid/>
              <w:spacing w:after="0" w:line="240" w:lineRule="auto"/>
              <w:jc w:val="center"/>
              <w:rPr>
                <w:rFonts w:ascii="黑体" w:eastAsia="黑体" w:cs="黑体" w:hAnsi="黑体"/>
                <w:color w:val="000000"/>
                <w:kern w:val="0"/>
                <w:sz w:val="18"/>
                <w:szCs w:val="18"/>
              </w:rPr>
            </w:pPr>
            <w:r>
              <w:rPr>
                <w:rFonts w:ascii="仿宋_GB2312" w:eastAsia="仿宋_GB2312" w:cs="黑体" w:hAnsi="Calibri" w:hint="eastAsia"/>
                <w:kern w:val="0"/>
                <w:sz w:val="18"/>
                <w:szCs w:val="18"/>
              </w:rPr>
              <w:t>其他区域由各乡镇（南区）政府负责</w:t>
            </w:r>
          </w:p>
        </w:tc>
      </w:tr>
      <w:tr>
        <w:trPr>
          <w:trHeight w:val="2132"/>
        </w:trPr>
        <w:tc>
          <w:tcPr>
            <w:tcW w:w="1463" w:type="dxa"/>
            <w:tcBorders>
              <w:tl2br w:val="nil"/>
              <w:tr2bl w:val="nil"/>
            </w:tcBorders>
            <w:shd w:val="clear" w:color="auto" w:fill="auto"/>
            <w:vAlign w:val="center"/>
          </w:tcPr>
          <w:p>
            <w:pPr>
              <w:widowControl w:val="0"/>
              <w:adjustRightInd/>
              <w:snapToGrid/>
              <w:spacing w:after="0" w:line="240" w:lineRule="exact"/>
              <w:jc w:val="center"/>
              <w:rPr>
                <w:rFonts w:ascii="黑体" w:eastAsia="黑体" w:cs="仿宋_GB2312" w:hAnsi="黑体" w:hint="eastAsia"/>
                <w:kern w:val="0"/>
                <w:sz w:val="18"/>
                <w:szCs w:val="18"/>
              </w:rPr>
            </w:pPr>
            <w:r>
              <w:rPr>
                <w:rFonts w:ascii="黑体" w:eastAsia="黑体" w:cs="仿宋_GB2312" w:hAnsi="黑体" w:hint="eastAsia"/>
                <w:kern w:val="0"/>
                <w:sz w:val="18"/>
                <w:szCs w:val="18"/>
              </w:rPr>
              <w:t>履职依据</w:t>
            </w:r>
          </w:p>
        </w:tc>
        <w:tc>
          <w:tcPr>
            <w:tcW w:w="9181"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中华人民共和国土地管理法》第七十四条，买卖或者以其他形式非法转让土地的，由县级以上人民政府自然资源主管部门没收违法所得;对违反土地利用总体规划擅自将农用地改为建设用地的，限期拆除在非法转让的土地上新建的建筑物和其他设施，恢复土地原状，对符合土地利用总体规划的，没收在非法转让的土地上新建的建筑物和其他设施;可以并处罚款;对直接负责的主管人员和其他直接责任人员，依法给予处分;构成犯罪的，依法追究刑事责任。</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w:t>
            </w:r>
            <w:bookmarkStart w:id="0" w:name="_GoBack"/>
            <w:bookmarkEnd w:id="0"/>
            <w:r>
              <w:rPr>
                <w:rFonts w:ascii="仿宋_GB2312" w:eastAsia="仿宋_GB2312" w:cs="黑体" w:hAnsi="Calibri" w:hint="eastAsia"/>
                <w:kern w:val="0"/>
                <w:sz w:val="18"/>
                <w:szCs w:val="18"/>
              </w:rPr>
              <w:t>中华人民共和国土地管理法实施条例》（1998年12月国务院令第256号，2021年7月国务院令第743号第三次修订）第五十四条：“依照《中华人民共和国土地管理法》第七十四条的规定处以罚款的，罚款额为违法所得的10%以上50%以下。”</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widowControl w:val="0"/>
              <w:adjustRightInd/>
              <w:snapToGrid/>
              <w:spacing w:after="0" w:line="240" w:lineRule="exact"/>
              <w:jc w:val="both"/>
              <w:rPr>
                <w:rFonts w:ascii="黑体" w:eastAsia="黑体" w:cs="仿宋_GB2312" w:hAnsi="黑体" w:hint="eastAsia"/>
                <w:kern w:val="0"/>
                <w:sz w:val="18"/>
                <w:szCs w:val="18"/>
              </w:rPr>
            </w:pPr>
            <w:r>
              <w:rPr>
                <w:rFonts w:ascii="仿宋_GB2312" w:eastAsia="仿宋_GB2312" w:cs="黑体" w:hAnsi="黑体" w:hint="eastAsia"/>
                <w:color w:val="000000"/>
                <w:kern w:val="2"/>
                <w:sz w:val="18"/>
                <w:szCs w:val="18"/>
              </w:rPr>
              <w:t>昌办字〔2019〕39号第（三十三）条</w:t>
            </w:r>
          </w:p>
        </w:tc>
      </w:tr>
      <w:tr>
        <w:trPr>
          <w:trHeight w:val="420"/>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146"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417"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568"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hRule="exact" w:val="59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立案</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经初步了解案件后，依法立案或不予立案（不予立案应当告知理由）</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568"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执法监察大队、黄金海岸分局</w:t>
            </w:r>
          </w:p>
        </w:tc>
      </w:tr>
      <w:tr>
        <w:trPr>
          <w:trHeight w:hRule="exact" w:val="59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调查取证</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制作现场勘验笔录、调查询问笔录、搜集相关文件资料、现场拍照录像等</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568"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hRule="exact" w:val="59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审查</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执法主体是否合法、事实是否清楚、证据是否合法充分、适用法律是否准确、执法程序是否合法等</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568"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hRule="exact" w:val="59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决定</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制作事先告知书（听证告知书）、处罚决定书</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568"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hRule="exact" w:val="59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送达</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Cs w:val="21"/>
              </w:rPr>
            </w:pPr>
            <w:r>
              <w:rPr>
                <w:rFonts w:ascii="仿宋_GB2312" w:eastAsia="仿宋_GB2312" w:cs="黑体" w:hAnsi="黑体" w:hint="eastAsia"/>
                <w:color w:val="000000"/>
                <w:sz w:val="18"/>
                <w:szCs w:val="18"/>
              </w:rPr>
              <w:t>送达相关文书，告知行政复议和行政诉讼等救济权利</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568"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val="3585"/>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181" w:type="dxa"/>
            <w:gridSpan w:val="8"/>
            <w:tcBorders>
              <w:tl2br w:val="nil"/>
              <w:tr2bl w:val="nil"/>
            </w:tcBorders>
            <w:shd w:val="clear" w:color="auto" w:fill="auto"/>
            <w:vAlign w:val="center"/>
          </w:tcPr>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因不履行或不正确履行行政职责，有下列情形的，行政机关及相关工作人员应承担相应责任：</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1、没有法律和事实依据实施行政处罚的；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2、擅自改变行政处罚种类、幅度的；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3、违反法定程序进行行政处罚的；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4、违反委托处罚规定的；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5、对违法行为未依法制止的；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6、应当依法立案查处，无正当理由未依法立案查处的；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7、在制止以及查处违法案件中受阻，依照有关规定应当向本级人民政府或者上级国土资源主管部门报告而未报告的；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8、符合听证条件、行政管理相对人要求听证，应予组织听证而不组织听证的。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9、应当依法进行行政处罚而未依法处罚的；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10、应当依法移送追究刑事责任，而未依法移送有权机关的；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11、在行政处罚过程中发生腐败行为的；</w:t>
            </w:r>
          </w:p>
          <w:p>
            <w:pPr>
              <w:widowControl w:val="0"/>
              <w:autoSpaceDE w:val="0"/>
              <w:autoSpaceDN w:val="0"/>
              <w:adjustRightInd w:val="0"/>
              <w:snapToGrid/>
              <w:spacing w:after="0" w:line="240" w:lineRule="exact"/>
              <w:jc w:val="both"/>
              <w:rPr>
                <w:rFonts w:ascii="黑体" w:eastAsia="黑体" w:cs="黑体"/>
                <w:color w:val="000000"/>
                <w:szCs w:val="21"/>
              </w:rPr>
            </w:pPr>
            <w:r>
              <w:rPr>
                <w:rFonts w:ascii="仿宋_GB2312" w:eastAsia="仿宋_GB2312" w:cs="黑体" w:hAnsi="Calibri" w:hint="eastAsia"/>
                <w:kern w:val="0"/>
                <w:sz w:val="18"/>
                <w:szCs w:val="18"/>
              </w:rPr>
              <w:t>12、其他违反法律法规规章文件规定的行为。</w:t>
            </w:r>
          </w:p>
        </w:tc>
      </w:tr>
      <w:tr>
        <w:trPr>
          <w:trHeight w:val="63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181"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78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181" w:type="dxa"/>
            <w:gridSpan w:val="8"/>
            <w:tcBorders>
              <w:tl2br w:val="nil"/>
              <w:tr2bl w:val="nil"/>
            </w:tcBorders>
            <w:shd w:val="clear" w:color="auto" w:fill="auto"/>
            <w:vAlign w:val="center"/>
          </w:tcPr>
          <w:p>
            <w:pPr>
              <w:widowControl/>
              <w:adjustRightInd/>
              <w:snapToGrid/>
              <w:spacing w:after="0" w:line="240" w:lineRule="auto"/>
              <w:jc w:val="left"/>
              <w:textAlignment w:val="center"/>
              <w:rPr>
                <w:rFonts w:ascii="仿宋_GB2312" w:eastAsia="仿宋_GB2312" w:cs="仿宋_GB2312" w:hAnsi="Calibri" w:hint="eastAsia"/>
                <w:color w:val="000000"/>
                <w:kern w:val="0"/>
                <w:sz w:val="18"/>
                <w:szCs w:val="18"/>
              </w:rPr>
            </w:pPr>
            <w:r>
              <w:rPr>
                <w:rFonts w:ascii="仿宋_GB2312" w:eastAsia="仿宋_GB2312" w:cs="仿宋_GB2312" w:hint="eastAsia"/>
                <w:color w:val="000000"/>
                <w:kern w:val="0"/>
                <w:sz w:val="18"/>
                <w:szCs w:val="18"/>
              </w:rPr>
              <w:t>1</w:t>
            </w:r>
            <w:r>
              <w:rPr>
                <w:rFonts w:ascii="仿宋_GB2312" w:eastAsia="仿宋_GB2312" w:cs="仿宋_GB2312" w:hAnsi="Calibri" w:hint="eastAsia"/>
                <w:color w:val="000000"/>
                <w:kern w:val="0"/>
                <w:sz w:val="18"/>
                <w:szCs w:val="18"/>
              </w:rPr>
              <w:t>．不服许可决定自知道该具体行政行为之日起六十日内向</w:t>
            </w:r>
            <w:r>
              <w:rPr>
                <w:rFonts w:ascii="仿宋_GB2312" w:eastAsia="仿宋_GB2312" w:cs="仿宋_GB2312" w:hAnsi="Calibri" w:hint="eastAsia"/>
                <w:color w:val="000000"/>
                <w:kern w:val="0"/>
                <w:sz w:val="18"/>
                <w:szCs w:val="18"/>
                <w:lang w:eastAsia="zh-CN"/>
              </w:rPr>
              <w:t>县</w:t>
            </w:r>
            <w:r>
              <w:rPr>
                <w:rFonts w:ascii="仿宋_GB2312" w:eastAsia="仿宋_GB2312" w:cs="仿宋_GB2312" w:hAnsi="Calibri" w:hint="eastAsia"/>
                <w:color w:val="000000"/>
                <w:kern w:val="0"/>
                <w:sz w:val="18"/>
                <w:szCs w:val="18"/>
              </w:rPr>
              <w:t>政府申请行政复议。</w:t>
            </w:r>
          </w:p>
          <w:p>
            <w:pPr>
              <w:widowControl/>
              <w:adjustRightInd/>
              <w:snapToGrid/>
              <w:spacing w:after="0" w:line="240" w:lineRule="auto"/>
              <w:jc w:val="left"/>
              <w:textAlignment w:val="center"/>
              <w:rPr>
                <w:rFonts w:ascii="黑体" w:eastAsia="黑体" w:cs="黑体"/>
                <w:b/>
                <w:bCs/>
                <w:color w:val="000000"/>
                <w:szCs w:val="21"/>
              </w:rPr>
            </w:pPr>
            <w:r>
              <w:rPr>
                <w:rFonts w:ascii="仿宋_GB2312" w:eastAsia="仿宋_GB2312" w:cs="仿宋_GB2312" w:hAnsi="Calibri" w:hint="eastAsia"/>
                <w:color w:val="000000"/>
                <w:kern w:val="0"/>
                <w:sz w:val="18"/>
                <w:szCs w:val="18"/>
              </w:rPr>
              <w:t>2．不服许可决定应当自知道或者应当知道作出行政行为之日起六个月内提出向</w:t>
            </w:r>
            <w:r>
              <w:rPr>
                <w:rFonts w:ascii="仿宋_GB2312" w:eastAsia="仿宋_GB2312" w:cs="仿宋_GB2312" w:hAnsi="Calibri" w:hint="eastAsia"/>
                <w:color w:val="000000"/>
                <w:kern w:val="0"/>
                <w:sz w:val="18"/>
                <w:szCs w:val="18"/>
                <w:lang w:eastAsia="zh-CN"/>
              </w:rPr>
              <w:t>昌黎县</w:t>
            </w:r>
            <w:r>
              <w:rPr>
                <w:rFonts w:ascii="仿宋_GB2312" w:eastAsia="仿宋_GB2312" w:cs="仿宋_GB2312" w:hAnsi="Calibri" w:hint="eastAsia"/>
                <w:color w:val="000000"/>
                <w:kern w:val="0"/>
                <w:sz w:val="18"/>
                <w:szCs w:val="18"/>
              </w:rPr>
              <w:t>人民法院提起行政诉讼。</w:t>
            </w:r>
          </w:p>
        </w:tc>
      </w:tr>
      <w:tr>
        <w:trPr>
          <w:trHeight w:val="228"/>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181"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Calibri">
    <w:panose1 w:val="020F0502020204030204"/>
    <w:charset w:val="00"/>
    <w:family w:val="auto"/>
    <w:pitch w:val="variable"/>
    <w:sig w:usb0="E4002EFF" w:usb1="C000247B" w:usb2="00000009" w:usb3="00000000" w:csb0="200001FF"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28B9282E-C486-4DCE-8563-79108A216D5A}">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12</TotalTime>
  <Application>Yozo_Office27021597764231179</Application>
  <Pages>1</Pages>
  <Words>0</Words>
  <Characters>969</Characters>
  <Lines>0</Lines>
  <Paragraphs>4</Paragraphs>
  <CharactersWithSpaces>1293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2024-09-27T07:22:07Z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F9155BE5DD5846CDA61A7C3AD6ABDCFF_12</vt:lpwstr>
  </property>
</Properties>
</file>