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对擅自转让房地产开发项目的行政处罚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《中华人民共和国城市房地产管理法》（1994年7月通过，2019年8月修正）</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第四十条第一款：“以划拨方式取得土地使用权的，转让房地产时，应当按照国务院规定，报有批准权的人民政府审批。有批准权的人民政府准予转让的，应当由受让方办理土地使用权出让手续，并依照国家有关规定缴纳土地使用权出让金。”</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第六十七条：“违反本法第四十条第一款的规定转让房地产的，</w:t>
            </w:r>
            <w:r>
              <w:rPr>
                <w:rFonts w:ascii="仿宋_GB2312" w:eastAsia="仿宋_GB2312" w:cs="黑体" w:hAnsi="Calibri"/>
                <w:color w:val="000000"/>
                <w:kern w:val="0"/>
                <w:sz w:val="18"/>
                <w:szCs w:val="18"/>
              </w:rPr>
              <w:t>由</w:t>
            </w:r>
            <w:bookmarkStart w:id="0" w:name="_GoBack"/>
            <w:bookmarkEnd w:id="0"/>
            <w:r>
              <w:rPr>
                <w:rFonts w:ascii="仿宋_GB2312" w:eastAsia="仿宋_GB2312" w:cs="黑体" w:hAnsi="Calibri" w:hint="eastAsia"/>
                <w:color w:val="000000"/>
                <w:kern w:val="0"/>
                <w:sz w:val="18"/>
                <w:szCs w:val="18"/>
              </w:rPr>
              <w:t>县级以上人民政府土地管理部门责令缴纳土地使用权出让金，没收违法所得，可以并处罚款。”</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w:t>
            </w:r>
            <w:r>
              <w:rPr>
                <w:rFonts w:ascii="仿宋_GB2312" w:eastAsia="仿宋_GB2312" w:cs="黑体" w:hAnsi="Calibri"/>
                <w:color w:val="000000"/>
                <w:kern w:val="0"/>
                <w:sz w:val="18"/>
                <w:szCs w:val="18"/>
              </w:rPr>
              <w:t>中华人民共和国</w:t>
            </w:r>
            <w:r>
              <w:rPr>
                <w:rFonts w:ascii="仿宋_GB2312" w:eastAsia="仿宋_GB2312" w:cs="黑体" w:hAnsi="Calibri" w:hint="eastAsia"/>
                <w:color w:val="000000"/>
                <w:kern w:val="0"/>
                <w:sz w:val="18"/>
                <w:szCs w:val="18"/>
              </w:rPr>
              <w:t>城市房地产开发经营管理条例》（1998年7月国务院令第248号，2020年11月国务院令第732号修订）第三十八条：“违反本条例规定，擅自转让房地产开发项目的，由县级以上人民政府负责土地管理工作的部门责令停止违法行为，没收违法所得，可以并处违法所得5倍以下的罚款。”</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仿宋_GB2312" w:eastAsia="仿宋_GB2312" w:cs="黑体"/>
                <w:b/>
                <w:bCs/>
                <w:color w:val="000000"/>
                <w:szCs w:val="21"/>
              </w:rPr>
            </w:pPr>
            <w:r>
              <w:rPr>
                <w:rFonts w:ascii="仿宋_GB2312" w:eastAsia="仿宋_GB2312" w:cs="黑体" w:hAnsi="Calibri" w:hint="eastAsia"/>
                <w:color w:val="000000"/>
                <w:kern w:val="0"/>
                <w:sz w:val="18"/>
                <w:szCs w:val="18"/>
              </w:rPr>
              <w:t>昌办字〔2019〕39号第（三十三）条。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141"/>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val="en-US"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EC3C0657-839E-4E7A-8311-2472838DEC45}">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966</Characters>
  <Lines>0</Lines>
  <Paragraphs>3</Paragraphs>
  <CharactersWithSpaces>1289</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2024-09-27T08:34:43Z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F7603E1095534FA7B92B92DAB22CB862_12</vt:lpwstr>
  </property>
</Properties>
</file>