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widowControl/>
        <w:spacing w:line="240" w:lineRule="auto"/>
        <w:jc w:val="center"/>
        <w:textAlignment w:val="center"/>
        <w:rPr>
          <w:rFonts w:ascii="方正小标宋简体" w:eastAsia="方正小标宋简体" w:cs="方正小标宋简体"/>
          <w:color w:val="000000"/>
          <w:kern w:val="0"/>
          <w:sz w:val="32"/>
          <w:szCs w:val="32"/>
        </w:rPr>
      </w:pPr>
      <w:r>
        <w:rPr>
          <w:rFonts w:ascii="方正小标宋简体" w:eastAsia="方正小标宋简体" w:cs="方正小标宋简体" w:hint="eastAsia"/>
          <w:color w:val="000000"/>
          <w:kern w:val="0"/>
          <w:sz w:val="32"/>
          <w:szCs w:val="32"/>
        </w:rPr>
        <w:t>履职行权规程</w:t>
      </w:r>
    </w:p>
    <w:tbl>
      <w:tblPr>
        <w:jc w:val="center"/>
        <w:tblW w:w="106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15" w:type="dxa"/>
          <w:left w:w="15" w:type="dxa"/>
          <w:bottom w:w="15" w:type="dxa"/>
          <w:right w:w="15" w:type="dxa"/>
        </w:tblCellMar>
      </w:tblPr>
      <w:tblGrid>
        <w:gridCol w:w="1392"/>
        <w:gridCol w:w="1170"/>
        <w:gridCol w:w="700"/>
        <w:gridCol w:w="1691"/>
        <w:gridCol w:w="1963"/>
        <w:gridCol w:w="1203"/>
        <w:gridCol w:w="215"/>
        <w:gridCol w:w="850"/>
        <w:gridCol w:w="1471"/>
      </w:tblGrid>
      <w:tr>
        <w:trPr>
          <w:trHeight w:val="319"/>
        </w:trPr>
        <w:tc>
          <w:tcPr>
            <w:tcW w:w="1392" w:type="dxa"/>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黑体" w:eastAsia="黑体" w:cs="黑体" w:hAnsi="Calibri" w:hint="eastAsia"/>
                <w:b/>
                <w:bCs/>
                <w:color w:val="000000"/>
                <w:kern w:val="0"/>
                <w:sz w:val="21"/>
                <w:szCs w:val="21"/>
              </w:rPr>
              <w:t>编号</w:t>
            </w:r>
          </w:p>
        </w:tc>
        <w:tc>
          <w:tcPr>
            <w:tcW w:w="1870" w:type="dxa"/>
            <w:gridSpan w:val="2"/>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b/>
                <w:bCs/>
                <w:color w:val="000000"/>
                <w:kern w:val="0"/>
                <w:sz w:val="21"/>
                <w:szCs w:val="21"/>
                <w:lang w:val="en-US" w:eastAsia="zh-CN"/>
              </w:rPr>
            </w:pPr>
          </w:p>
        </w:tc>
        <w:tc>
          <w:tcPr>
            <w:tcW w:w="1691" w:type="dxa"/>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黑体" w:eastAsia="黑体" w:cs="黑体" w:hAnsi="Calibri" w:hint="eastAsia"/>
                <w:b/>
                <w:bCs/>
                <w:color w:val="000000"/>
                <w:kern w:val="0"/>
                <w:sz w:val="21"/>
                <w:szCs w:val="21"/>
              </w:rPr>
              <w:t>权力类型</w:t>
            </w:r>
          </w:p>
        </w:tc>
        <w:tc>
          <w:tcPr>
            <w:tcW w:w="1963" w:type="dxa"/>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仿宋_GB2312" w:eastAsia="仿宋_GB2312" w:cs="仿宋_GB2312" w:hAnsi="宋体" w:hint="eastAsia"/>
                <w:i w:val="0"/>
                <w:color w:val="000000"/>
                <w:kern w:val="0"/>
                <w:sz w:val="20"/>
                <w:szCs w:val="20"/>
                <w:u w:val="none"/>
                <w:lang w:val="en-US" w:eastAsia="zh-CN"/>
              </w:rPr>
              <w:t>行政处罚</w:t>
            </w:r>
          </w:p>
        </w:tc>
        <w:tc>
          <w:tcPr>
            <w:tcW w:w="1418" w:type="dxa"/>
            <w:gridSpan w:val="2"/>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黑体" w:eastAsia="黑体" w:cs="黑体" w:hAnsi="Calibri" w:hint="eastAsia"/>
                <w:b/>
                <w:bCs/>
                <w:color w:val="000000"/>
                <w:kern w:val="0"/>
                <w:sz w:val="21"/>
                <w:szCs w:val="21"/>
              </w:rPr>
              <w:t>实施主体</w:t>
            </w:r>
          </w:p>
        </w:tc>
        <w:tc>
          <w:tcPr>
            <w:tcW w:w="2321" w:type="dxa"/>
            <w:gridSpan w:val="2"/>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仿宋_GB2312" w:eastAsia="仿宋_GB2312" w:cs="仿宋_GB2312" w:hAnsi="宋体" w:hint="eastAsia"/>
                <w:i w:val="0"/>
                <w:color w:val="000000"/>
                <w:kern w:val="0"/>
                <w:sz w:val="20"/>
                <w:szCs w:val="20"/>
                <w:u w:val="none"/>
                <w:lang w:val="en-US" w:eastAsia="zh-CN"/>
              </w:rPr>
              <w:t>昌黎县自然资源和规划局</w:t>
            </w:r>
          </w:p>
        </w:tc>
      </w:tr>
      <w:tr>
        <w:trPr>
          <w:trHeight w:val="90"/>
        </w:trPr>
        <w:tc>
          <w:tcPr>
            <w:tcW w:w="1392" w:type="dxa"/>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黑体" w:eastAsia="黑体" w:cs="黑体" w:hAnsi="Calibri" w:hint="eastAsia"/>
                <w:b/>
                <w:bCs/>
                <w:color w:val="000000"/>
                <w:kern w:val="0"/>
                <w:sz w:val="21"/>
                <w:szCs w:val="21"/>
              </w:rPr>
              <w:t>事项名称</w:t>
            </w:r>
          </w:p>
        </w:tc>
        <w:tc>
          <w:tcPr>
            <w:tcW w:w="9263" w:type="dxa"/>
            <w:gridSpan w:val="8"/>
            <w:tcBorders>
              <w:tl2br w:val="nil"/>
              <w:tr2bl w:val="nil"/>
            </w:tcBorders>
            <w:shd w:val="clear" w:color="auto" w:fill="auto"/>
            <w:vAlign w:val="center"/>
          </w:tcPr>
          <w:p>
            <w:pPr>
              <w:keepNext w:val="0"/>
              <w:keepLines w:val="0"/>
              <w:widowControl/>
              <w:suppressLineNumbers w:val="0"/>
              <w:adjustRightInd/>
              <w:snapToGrid/>
              <w:spacing w:after="0" w:line="240" w:lineRule="auto"/>
              <w:jc w:val="center"/>
              <w:textAlignment w:val="center"/>
              <w:rPr>
                <w:rFonts w:ascii="仿宋_GB2312" w:eastAsia="仿宋_GB2312" w:cs="仿宋_GB2312" w:hAnsi="宋体"/>
                <w:i w:val="0"/>
                <w:color w:val="000000"/>
                <w:kern w:val="0"/>
                <w:sz w:val="20"/>
                <w:szCs w:val="20"/>
                <w:u w:val="none"/>
                <w:lang w:val="en-US" w:eastAsia="zh-CN"/>
              </w:rPr>
            </w:pPr>
            <w:r>
              <w:rPr>
                <w:rFonts w:ascii="仿宋_GB2312" w:eastAsia="仿宋_GB2312" w:cs="仿宋_GB2312" w:hAnsi="宋体"/>
                <w:i w:val="0"/>
                <w:color w:val="000000"/>
                <w:kern w:val="0"/>
                <w:sz w:val="20"/>
                <w:szCs w:val="20"/>
                <w:u w:val="none"/>
                <w:lang w:val="en-US" w:eastAsia="zh-CN"/>
              </w:rPr>
              <w:t>对买卖、出租或者以其他形式转让矿产资源的行政处罚</w:t>
            </w:r>
          </w:p>
        </w:tc>
      </w:tr>
      <w:tr>
        <w:trPr>
          <w:trHeight w:val="285"/>
        </w:trPr>
        <w:tc>
          <w:tcPr>
            <w:tcW w:w="1392" w:type="dxa"/>
            <w:tcBorders>
              <w:tl2br w:val="nil"/>
              <w:tr2bl w:val="nil"/>
            </w:tcBorders>
            <w:shd w:val="clear" w:color="auto" w:fill="auto"/>
            <w:vAlign w:val="center"/>
          </w:tcPr>
          <w:p>
            <w:pPr>
              <w:widowControl/>
              <w:adjustRightInd/>
              <w:snapToGrid/>
              <w:spacing w:after="0" w:line="240" w:lineRule="auto"/>
              <w:jc w:val="center"/>
              <w:textAlignment w:val="center"/>
              <w:rPr>
                <w:rFonts w:ascii="黑体" w:eastAsia="黑体" w:cs="黑体" w:hAnsi="Calibri" w:hint="eastAsia"/>
                <w:b/>
                <w:bCs/>
                <w:color w:val="000000"/>
                <w:kern w:val="0"/>
                <w:sz w:val="21"/>
                <w:szCs w:val="21"/>
              </w:rPr>
            </w:pPr>
            <w:r>
              <w:rPr>
                <w:rFonts w:ascii="黑体" w:eastAsia="黑体" w:cs="黑体" w:hAnsi="Calibri" w:hint="eastAsia"/>
                <w:b/>
                <w:bCs/>
                <w:color w:val="000000"/>
                <w:kern w:val="0"/>
                <w:sz w:val="21"/>
                <w:szCs w:val="21"/>
              </w:rPr>
              <w:t>管辖范围</w:t>
            </w:r>
          </w:p>
        </w:tc>
        <w:tc>
          <w:tcPr>
            <w:tcW w:w="9263" w:type="dxa"/>
            <w:gridSpan w:val="8"/>
            <w:tcBorders>
              <w:tl2br w:val="nil"/>
              <w:tr2bl w:val="nil"/>
            </w:tcBorders>
            <w:shd w:val="clear" w:color="auto" w:fill="auto"/>
            <w:vAlign w:val="center"/>
          </w:tcPr>
          <w:p>
            <w:pPr>
              <w:keepNext w:val="0"/>
              <w:keepLines w:val="0"/>
              <w:widowControl/>
              <w:suppressLineNumbers w:val="0"/>
              <w:adjustRightInd/>
              <w:snapToGrid/>
              <w:spacing w:after="0" w:line="240" w:lineRule="auto"/>
              <w:jc w:val="center"/>
              <w:textAlignment w:val="center"/>
              <w:rPr>
                <w:rFonts w:ascii="仿宋_GB2312" w:eastAsia="仿宋_GB2312" w:cs="仿宋_GB2312" w:hAnsi="宋体"/>
                <w:i w:val="0"/>
                <w:color w:val="000000"/>
                <w:kern w:val="0"/>
                <w:sz w:val="20"/>
                <w:szCs w:val="20"/>
                <w:u w:val="none"/>
                <w:lang w:val="en-US" w:eastAsia="zh-CN"/>
              </w:rPr>
            </w:pPr>
            <w:r>
              <w:rPr>
                <w:rFonts w:ascii="仿宋_GB2312" w:eastAsia="仿宋_GB2312" w:cs="仿宋_GB2312" w:hAnsi="宋体" w:hint="eastAsia"/>
                <w:i w:val="0"/>
                <w:color w:val="000000"/>
                <w:kern w:val="0"/>
                <w:sz w:val="20"/>
                <w:szCs w:val="20"/>
                <w:u w:val="none"/>
                <w:lang w:val="en-US" w:eastAsia="zh-CN"/>
              </w:rPr>
              <w:t>昌黎县自然资源和规划局</w:t>
            </w:r>
          </w:p>
        </w:tc>
      </w:tr>
      <w:tr>
        <w:trPr>
          <w:trHeight w:val="1997"/>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履职依据</w:t>
            </w:r>
          </w:p>
        </w:tc>
        <w:tc>
          <w:tcPr>
            <w:tcW w:w="9263" w:type="dxa"/>
            <w:gridSpan w:val="8"/>
            <w:tcBorders>
              <w:tl2br w:val="nil"/>
              <w:tr2bl w:val="nil"/>
            </w:tcBorders>
            <w:shd w:val="clear" w:color="auto" w:fill="auto"/>
            <w:vAlign w:val="center"/>
          </w:tcPr>
          <w:p>
            <w:pPr>
              <w:widowControl w:val="0"/>
              <w:adjustRightInd/>
              <w:snapToGrid/>
              <w:spacing w:after="0" w:line="240" w:lineRule="exact"/>
              <w:jc w:val="both"/>
              <w:rPr>
                <w:rFonts w:ascii="黑体" w:eastAsia="黑体" w:cs="仿宋_GB2312" w:hAnsi="黑体" w:hint="eastAsia"/>
                <w:kern w:val="0"/>
                <w:sz w:val="18"/>
                <w:szCs w:val="18"/>
              </w:rPr>
            </w:pPr>
            <w:r>
              <w:rPr>
                <w:rFonts w:ascii="黑体" w:eastAsia="黑体" w:cs="仿宋_GB2312" w:hAnsi="黑体" w:hint="eastAsia"/>
                <w:kern w:val="0"/>
                <w:sz w:val="18"/>
                <w:szCs w:val="18"/>
              </w:rPr>
              <w:t>【法律法规】</w:t>
            </w:r>
          </w:p>
          <w:p>
            <w:pPr>
              <w:widowControl w:val="0"/>
              <w:adjustRightInd/>
              <w:snapToGrid/>
              <w:spacing w:after="0" w:line="240" w:lineRule="exact"/>
              <w:jc w:val="both"/>
              <w:rPr>
                <w:rFonts w:ascii="仿宋_GB2312" w:eastAsia="仿宋_GB2312" w:cs="黑体" w:hAnsi="Calibri" w:hint="eastAsia"/>
                <w:kern w:val="0"/>
                <w:sz w:val="18"/>
                <w:szCs w:val="18"/>
              </w:rPr>
            </w:pPr>
            <w:r>
              <w:rPr>
                <w:rFonts w:ascii="仿宋_GB2312" w:eastAsia="仿宋_GB2312" w:cs="黑体" w:hAnsi="Calibri" w:hint="eastAsia"/>
                <w:kern w:val="0"/>
                <w:sz w:val="18"/>
                <w:szCs w:val="18"/>
              </w:rPr>
              <w:t>《中华人民共和国矿产资源法》第四十二条第一款，买卖、出租或者以其他形式转让矿产资源的，没收违法所得，处以罚款。</w:t>
            </w:r>
          </w:p>
          <w:p>
            <w:pPr>
              <w:widowControl w:val="0"/>
              <w:adjustRightInd/>
              <w:snapToGrid/>
              <w:spacing w:after="0" w:line="240" w:lineRule="exact"/>
              <w:jc w:val="both"/>
              <w:rPr>
                <w:rFonts w:ascii="仿宋_GB2312" w:eastAsia="仿宋_GB2312" w:cs="黑体" w:hAnsi="Calibri" w:hint="eastAsia"/>
                <w:kern w:val="0"/>
                <w:sz w:val="18"/>
                <w:szCs w:val="18"/>
              </w:rPr>
            </w:pPr>
            <w:r>
              <w:rPr>
                <w:rFonts w:ascii="仿宋_GB2312" w:eastAsia="仿宋_GB2312" w:cs="黑体" w:hAnsi="Calibri" w:hint="eastAsia"/>
                <w:kern w:val="0"/>
                <w:sz w:val="18"/>
                <w:szCs w:val="18"/>
              </w:rPr>
              <w:t>违反本法第六条的规定将探矿权、采矿权倒卖牟利的，吊销勘查许可证、采矿许可证，没收违法所得，处以罚款。             《中华人民共和国矿产资源法实施细则》（国务院令第152号）第四十二条依照《</w:t>
            </w:r>
            <w:r>
              <w:rPr>
                <w:rFonts w:ascii="仿宋_GB2312" w:eastAsia="仿宋_GB2312" w:cs="黑体" w:hAnsi="Calibri"/>
                <w:kern w:val="0"/>
                <w:sz w:val="18"/>
                <w:szCs w:val="18"/>
              </w:rPr>
              <w:t>中华人民共和国</w:t>
            </w:r>
            <w:r>
              <w:rPr>
                <w:rFonts w:ascii="仿宋_GB2312" w:eastAsia="仿宋_GB2312" w:cs="黑体" w:hAnsi="Calibri" w:hint="eastAsia"/>
                <w:kern w:val="0"/>
                <w:sz w:val="18"/>
                <w:szCs w:val="18"/>
              </w:rPr>
              <w:t>矿产资源法》第三十九条、第四十条、第四十二条、第四十三条、第四十四条规定处以罚款的，分别按照下列规定执行:</w:t>
            </w:r>
          </w:p>
          <w:p>
            <w:pPr>
              <w:widowControl w:val="0"/>
              <w:adjustRightInd/>
              <w:snapToGrid/>
              <w:spacing w:after="0" w:line="240" w:lineRule="exact"/>
              <w:jc w:val="both"/>
              <w:rPr>
                <w:rFonts w:ascii="仿宋_GB2312" w:eastAsia="仿宋_GB2312" w:cs="黑体" w:hAnsi="Calibri" w:hint="eastAsia"/>
                <w:kern w:val="0"/>
                <w:sz w:val="18"/>
                <w:szCs w:val="18"/>
              </w:rPr>
            </w:pPr>
            <w:r>
              <w:rPr>
                <w:rFonts w:ascii="仿宋_GB2312" w:eastAsia="仿宋_GB2312" w:cs="黑体" w:hAnsi="Calibri" w:hint="eastAsia"/>
                <w:kern w:val="0"/>
                <w:sz w:val="18"/>
                <w:szCs w:val="18"/>
              </w:rPr>
              <w:t>(一)未取得采矿许可证擅自采矿的，擅自进入国家规划矿区、对国民经济具有重要价值的矿区和他人矿区范围采矿的，擅自开采国家规定实行保护性开采的特定矿种的，处以违法所得50%以下的罚款;</w:t>
            </w:r>
          </w:p>
          <w:p>
            <w:pPr>
              <w:widowControl w:val="0"/>
              <w:adjustRightInd/>
              <w:snapToGrid/>
              <w:spacing w:after="0" w:line="240" w:lineRule="exact"/>
              <w:jc w:val="both"/>
              <w:rPr>
                <w:rFonts w:ascii="仿宋_GB2312" w:eastAsia="仿宋_GB2312" w:cs="黑体" w:hAnsi="Calibri" w:hint="eastAsia"/>
                <w:kern w:val="0"/>
                <w:sz w:val="18"/>
                <w:szCs w:val="18"/>
              </w:rPr>
            </w:pPr>
            <w:r>
              <w:rPr>
                <w:rFonts w:ascii="仿宋_GB2312" w:eastAsia="仿宋_GB2312" w:cs="黑体" w:hAnsi="Calibri" w:hint="eastAsia"/>
                <w:kern w:val="0"/>
                <w:sz w:val="18"/>
                <w:szCs w:val="18"/>
              </w:rPr>
              <w:t>(二)超越批准的矿区范围采矿的，处以违法所得30%以下的罚款;</w:t>
            </w:r>
          </w:p>
          <w:p>
            <w:pPr>
              <w:widowControl w:val="0"/>
              <w:adjustRightInd/>
              <w:snapToGrid/>
              <w:spacing w:after="0" w:line="240" w:lineRule="exact"/>
              <w:jc w:val="both"/>
              <w:rPr>
                <w:rFonts w:ascii="仿宋_GB2312" w:eastAsia="仿宋_GB2312" w:cs="黑体" w:hAnsi="Calibri" w:hint="eastAsia"/>
                <w:kern w:val="0"/>
                <w:sz w:val="18"/>
                <w:szCs w:val="18"/>
              </w:rPr>
            </w:pPr>
            <w:r>
              <w:rPr>
                <w:rFonts w:ascii="仿宋_GB2312" w:eastAsia="仿宋_GB2312" w:cs="黑体" w:hAnsi="Calibri" w:hint="eastAsia"/>
                <w:kern w:val="0"/>
                <w:sz w:val="18"/>
                <w:szCs w:val="18"/>
              </w:rPr>
              <w:t>(三)买卖、出租或者以其他形式转让矿产资源的，买卖、出租采矿权的，对卖方、出租方、出让方处以违法所得一倍以下的罚款;</w:t>
            </w:r>
          </w:p>
          <w:p>
            <w:pPr>
              <w:widowControl w:val="0"/>
              <w:adjustRightInd/>
              <w:snapToGrid/>
              <w:spacing w:after="0" w:line="240" w:lineRule="exact"/>
              <w:jc w:val="both"/>
              <w:rPr>
                <w:rFonts w:ascii="仿宋_GB2312" w:eastAsia="仿宋_GB2312" w:cs="黑体" w:hAnsi="Calibri" w:hint="eastAsia"/>
                <w:kern w:val="0"/>
                <w:sz w:val="18"/>
                <w:szCs w:val="18"/>
              </w:rPr>
            </w:pPr>
            <w:r>
              <w:rPr>
                <w:rFonts w:ascii="仿宋_GB2312" w:eastAsia="仿宋_GB2312" w:cs="黑体" w:hAnsi="Calibri" w:hint="eastAsia"/>
                <w:kern w:val="0"/>
                <w:sz w:val="18"/>
                <w:szCs w:val="18"/>
              </w:rPr>
              <w:t>(四)非法用采矿权作抵押的，处以5000元以下的罚款;</w:t>
            </w:r>
          </w:p>
          <w:p>
            <w:pPr>
              <w:widowControl w:val="0"/>
              <w:adjustRightInd/>
              <w:snapToGrid/>
              <w:spacing w:after="0" w:line="240" w:lineRule="exact"/>
              <w:jc w:val="both"/>
              <w:rPr>
                <w:rFonts w:ascii="仿宋_GB2312" w:eastAsia="仿宋_GB2312" w:cs="黑体" w:hAnsi="Calibri" w:hint="eastAsia"/>
                <w:kern w:val="0"/>
                <w:sz w:val="18"/>
                <w:szCs w:val="18"/>
              </w:rPr>
            </w:pPr>
            <w:r>
              <w:rPr>
                <w:rFonts w:ascii="仿宋_GB2312" w:eastAsia="仿宋_GB2312" w:cs="黑体" w:hAnsi="Calibri" w:hint="eastAsia"/>
                <w:kern w:val="0"/>
                <w:sz w:val="18"/>
                <w:szCs w:val="18"/>
              </w:rPr>
              <w:t>(五)违反规定收购和销售国家规定统一收购的矿产品的，处以违法所得一倍以下的罚款;</w:t>
            </w:r>
          </w:p>
          <w:p>
            <w:pPr>
              <w:widowControl w:val="0"/>
              <w:adjustRightInd/>
              <w:snapToGrid/>
              <w:spacing w:after="0" w:line="240" w:lineRule="exact"/>
              <w:jc w:val="both"/>
              <w:rPr>
                <w:rFonts w:ascii="仿宋_GB2312" w:eastAsia="仿宋_GB2312" w:cs="黑体" w:hAnsi="Calibri" w:hint="eastAsia"/>
                <w:kern w:val="0"/>
                <w:sz w:val="18"/>
                <w:szCs w:val="18"/>
              </w:rPr>
            </w:pPr>
            <w:r>
              <w:rPr>
                <w:rFonts w:ascii="仿宋_GB2312" w:eastAsia="仿宋_GB2312" w:cs="黑体" w:hAnsi="Calibri" w:hint="eastAsia"/>
                <w:kern w:val="0"/>
                <w:sz w:val="18"/>
                <w:szCs w:val="18"/>
              </w:rPr>
              <w:t>(六)采取破坏性的开采方法开采矿产资源，造成矿产资源严重破坏的，处以相当于矿产资源损失价值50%以下的罚款。</w:t>
            </w:r>
          </w:p>
          <w:p>
            <w:pPr>
              <w:widowControl w:val="0"/>
              <w:adjustRightInd/>
              <w:snapToGrid/>
              <w:spacing w:after="0" w:line="240" w:lineRule="exact"/>
              <w:jc w:val="both"/>
              <w:rPr>
                <w:rFonts w:ascii="黑体" w:eastAsia="黑体" w:cs="仿宋_GB2312" w:hAnsi="黑体"/>
                <w:kern w:val="0"/>
                <w:sz w:val="18"/>
                <w:szCs w:val="18"/>
              </w:rPr>
            </w:pPr>
            <w:r>
              <w:rPr>
                <w:rFonts w:ascii="黑体" w:eastAsia="黑体" w:cs="仿宋_GB2312" w:hAnsi="黑体" w:hint="eastAsia"/>
                <w:kern w:val="0"/>
                <w:sz w:val="18"/>
                <w:szCs w:val="18"/>
              </w:rPr>
              <w:t>【三定规定】</w:t>
            </w:r>
          </w:p>
          <w:p>
            <w:pPr>
              <w:spacing w:line="240" w:lineRule="exact"/>
              <w:rPr>
                <w:rFonts w:ascii="仿宋_GB2312" w:eastAsia="仿宋_GB2312" w:cs="黑体"/>
                <w:b/>
                <w:bCs/>
                <w:color w:val="000000"/>
                <w:szCs w:val="21"/>
              </w:rPr>
            </w:pPr>
            <w:r>
              <w:rPr>
                <w:rFonts w:ascii="仿宋_GB2312" w:eastAsia="仿宋_GB2312" w:cs="黑体" w:hAnsi="黑体" w:hint="eastAsia"/>
                <w:color w:val="000000"/>
                <w:sz w:val="18"/>
                <w:szCs w:val="18"/>
              </w:rPr>
              <w:t>昌办字〔2019〕39号第（三十三）条</w:t>
            </w:r>
            <w:r>
              <w:rPr>
                <w:rFonts w:ascii="仿宋_GB2312" w:eastAsia="仿宋_GB2312" w:cs="黑体" w:hint="eastAsia"/>
                <w:kern w:val="0"/>
                <w:sz w:val="18"/>
                <w:szCs w:val="18"/>
              </w:rPr>
              <w:t>。</w:t>
            </w:r>
          </w:p>
        </w:tc>
      </w:tr>
      <w:tr>
        <w:trPr>
          <w:trHeight w:val="225"/>
        </w:trPr>
        <w:tc>
          <w:tcPr>
            <w:tcW w:w="1392" w:type="dxa"/>
            <w:vMerge w:val="restart"/>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履职流程</w:t>
            </w:r>
          </w:p>
        </w:tc>
        <w:tc>
          <w:tcPr>
            <w:tcW w:w="1170"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办理环节</w:t>
            </w:r>
          </w:p>
        </w:tc>
        <w:tc>
          <w:tcPr>
            <w:tcW w:w="5557" w:type="dxa"/>
            <w:gridSpan w:val="4"/>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办理内容</w:t>
            </w:r>
          </w:p>
        </w:tc>
        <w:tc>
          <w:tcPr>
            <w:tcW w:w="1065"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szCs w:val="21"/>
              </w:rPr>
              <w:t>办理时限</w:t>
            </w:r>
          </w:p>
        </w:tc>
        <w:tc>
          <w:tcPr>
            <w:tcW w:w="1471"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责任科室</w:t>
            </w:r>
          </w:p>
        </w:tc>
      </w:tr>
      <w:tr>
        <w:trPr>
          <w:trHeight w:val="474"/>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立案</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经初步了解案件后，依法立案或不予立案（不予立案应当告知理由）</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459"/>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调查取证</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制作现场勘验笔录、调查询问笔录、搜集相关文件资料、现场拍照录像等</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489"/>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审查</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执法主体是否合法、事实是否清楚、证据是否合法充分、适用法律是否准确、执法程序是否合法等</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489"/>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决定</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制作事先告知书（听证告知书）、处罚决定书</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549"/>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送达</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送达相关文书，告知行政复议和行政诉讼等救济权利</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3041"/>
        </w:trPr>
        <w:tc>
          <w:tcPr>
            <w:tcW w:w="1392" w:type="dxa"/>
            <w:tcBorders>
              <w:tl2br w:val="nil"/>
              <w:tr2bl w:val="nil"/>
            </w:tcBorders>
            <w:shd w:val="clear" w:color="auto" w:fill="auto"/>
            <w:vAlign w:val="center"/>
          </w:tcPr>
          <w:p>
            <w:pPr>
              <w:widowControl/>
              <w:spacing w:line="240" w:lineRule="exact"/>
              <w:jc w:val="center"/>
              <w:textAlignment w:val="center"/>
              <w:rPr>
                <w:rFonts w:ascii="黑体" w:eastAsia="黑体" w:cs="黑体"/>
                <w:b/>
                <w:bCs/>
                <w:color w:val="000000"/>
                <w:szCs w:val="21"/>
              </w:rPr>
            </w:pPr>
            <w:r>
              <w:rPr>
                <w:rFonts w:ascii="黑体" w:eastAsia="黑体" w:cs="黑体" w:hint="eastAsia"/>
                <w:b/>
                <w:bCs/>
                <w:color w:val="000000"/>
                <w:kern w:val="0"/>
                <w:szCs w:val="21"/>
              </w:rPr>
              <w:t>追责情形</w:t>
            </w:r>
          </w:p>
        </w:tc>
        <w:tc>
          <w:tcPr>
            <w:tcW w:w="9263" w:type="dxa"/>
            <w:gridSpan w:val="8"/>
            <w:tcBorders>
              <w:tl2br w:val="nil"/>
              <w:tr2bl w:val="nil"/>
            </w:tcBorders>
            <w:shd w:val="clear" w:color="auto" w:fill="auto"/>
            <w:vAlign w:val="center"/>
          </w:tcPr>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因不履行或不正确履行行政职责，有下列情形的，行政机关及相关工作人员应承担相应责任：</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1、没有法律和事实依据实施行政处罚的；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2、擅自改变行政处罚种类、幅度的；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3、违反法定程序进行行政处罚的；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4、违反委托处罚规定的；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5、对违法行为未依法制止的；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6、应当依法立案查处，无正当理由未依法立案查处的；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7、在制止以及查处违法案件中受阻，依照有关规定应当向本级人民政府或者上级国土资源主管部门报告而未报告的；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8、符合听证条件、行政管理相对人要求听证，应予组织听证而不组织听证的。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9、应当依法进行行政处罚而未依法处罚的；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10、应当依法移送追究刑事责任，而未依法移送有权机关的；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11、在行政处罚过程中发生腐败行为的；</w:t>
            </w:r>
          </w:p>
          <w:p>
            <w:pPr>
              <w:keepNext w:val="0"/>
              <w:keepLines w:val="0"/>
              <w:widowControl/>
              <w:suppressLineNumbers w:val="0"/>
              <w:adjustRightInd/>
              <w:snapToGrid/>
              <w:spacing w:after="0" w:line="240" w:lineRule="auto"/>
              <w:jc w:val="left"/>
              <w:textAlignment w:val="center"/>
              <w:rPr>
                <w:rFonts w:ascii="仿宋" w:eastAsia="仿宋" w:cs="仿宋" w:hAnsi="仿宋"/>
                <w:i w:val="0"/>
                <w:color w:val="000000"/>
                <w:kern w:val="2"/>
                <w:sz w:val="16"/>
                <w:szCs w:val="16"/>
                <w:u w:val="none"/>
                <w:lang w:val="en-US" w:eastAsia="zh-CN" w:bidi="ar-SA"/>
              </w:rPr>
            </w:pPr>
            <w:r>
              <w:rPr>
                <w:rFonts w:ascii="仿宋" w:eastAsia="仿宋" w:cs="仿宋" w:hAnsi="仿宋" w:hint="eastAsia"/>
                <w:i w:val="0"/>
                <w:color w:val="000000"/>
                <w:kern w:val="0"/>
                <w:sz w:val="16"/>
                <w:szCs w:val="16"/>
                <w:u w:val="none"/>
                <w:lang w:val="en-US" w:eastAsia="zh-CN"/>
              </w:rPr>
              <w:t>12、其他违反法律法规规章文件规定的行为。</w:t>
            </w:r>
          </w:p>
        </w:tc>
      </w:tr>
      <w:tr>
        <w:trPr>
          <w:trHeight w:val="570"/>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监督方式</w:t>
            </w:r>
          </w:p>
        </w:tc>
        <w:tc>
          <w:tcPr>
            <w:tcW w:w="9263" w:type="dxa"/>
            <w:gridSpan w:val="8"/>
            <w:tcBorders>
              <w:tl2br w:val="nil"/>
              <w:tr2bl w:val="nil"/>
            </w:tcBorders>
            <w:shd w:val="clear" w:color="auto" w:fill="auto"/>
            <w:vAlign w:val="center"/>
          </w:tcPr>
          <w:p>
            <w:pPr>
              <w:widowControl/>
              <w:adjustRightInd/>
              <w:snapToGrid/>
              <w:spacing w:after="0" w:line="240" w:lineRule="exact"/>
              <w:jc w:val="left"/>
              <w:textAlignment w:val="center"/>
              <w:rPr>
                <w:rFonts w:ascii="仿宋_GB2312" w:eastAsia="仿宋_GB2312" w:cs="黑体" w:hAnsi="黑体" w:hint="eastAsia"/>
                <w:color w:val="000000"/>
                <w:kern w:val="0"/>
                <w:sz w:val="18"/>
                <w:szCs w:val="18"/>
              </w:rPr>
            </w:pPr>
            <w:r>
              <w:rPr>
                <w:rFonts w:ascii="仿宋_GB2312" w:eastAsia="仿宋_GB2312" w:cs="黑体" w:hAnsi="黑体" w:hint="eastAsia"/>
                <w:color w:val="000000"/>
                <w:kern w:val="0"/>
                <w:sz w:val="18"/>
                <w:szCs w:val="18"/>
              </w:rPr>
              <w:t>1.业务咨询：0335-2861320</w:t>
              <w:br/>
              <w:t>2.投诉举报电话：0335-2022626</w:t>
            </w:r>
          </w:p>
          <w:p>
            <w:pPr>
              <w:widowControl/>
              <w:adjustRightInd/>
              <w:snapToGrid/>
              <w:spacing w:after="0" w:line="240" w:lineRule="exact"/>
              <w:jc w:val="left"/>
              <w:textAlignment w:val="center"/>
              <w:rPr>
                <w:rFonts w:ascii="黑体" w:eastAsia="黑体" w:cs="黑体"/>
                <w:color w:val="000000"/>
                <w:sz w:val="18"/>
                <w:szCs w:val="18"/>
              </w:rPr>
            </w:pPr>
            <w:r>
              <w:rPr>
                <w:rFonts w:ascii="仿宋_GB2312" w:eastAsia="仿宋_GB2312" w:cs="黑体" w:hAnsi="黑体" w:hint="eastAsia"/>
                <w:color w:val="000000"/>
                <w:kern w:val="0"/>
                <w:sz w:val="18"/>
                <w:szCs w:val="18"/>
              </w:rPr>
              <w:t>3.纪检监察投诉：县纪委第四派驻纪检监察组，电话：0335-2608801</w:t>
            </w:r>
          </w:p>
        </w:tc>
      </w:tr>
      <w:tr>
        <w:trPr>
          <w:trHeight w:val="366"/>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法定救济途径</w:t>
            </w:r>
          </w:p>
        </w:tc>
        <w:tc>
          <w:tcPr>
            <w:tcW w:w="9263" w:type="dxa"/>
            <w:gridSpan w:val="8"/>
            <w:tcBorders>
              <w:tl2br w:val="nil"/>
              <w:tr2bl w:val="nil"/>
            </w:tcBorders>
            <w:shd w:val="clear" w:color="auto" w:fill="auto"/>
            <w:vAlign w:val="center"/>
          </w:tcPr>
          <w:p>
            <w:pPr>
              <w:widowControl/>
              <w:jc w:val="left"/>
              <w:textAlignment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1．不服许可决定自知道该具体行政行为之日起六十日内向</w:t>
            </w:r>
            <w:r>
              <w:rPr>
                <w:rFonts w:ascii="仿宋_GB2312" w:eastAsia="仿宋_GB2312" w:cs="仿宋_GB2312" w:hint="eastAsia"/>
                <w:color w:val="000000"/>
                <w:kern w:val="0"/>
                <w:sz w:val="18"/>
                <w:szCs w:val="18"/>
                <w:lang w:eastAsia="zh-CN"/>
              </w:rPr>
              <w:t>县</w:t>
            </w:r>
            <w:r>
              <w:rPr>
                <w:rFonts w:ascii="仿宋_GB2312" w:eastAsia="仿宋_GB2312" w:cs="仿宋_GB2312" w:hint="eastAsia"/>
                <w:color w:val="000000"/>
                <w:kern w:val="0"/>
                <w:sz w:val="18"/>
                <w:szCs w:val="18"/>
              </w:rPr>
              <w:t>政府申请行政复议。</w:t>
            </w:r>
          </w:p>
          <w:p>
            <w:pPr>
              <w:widowControl/>
              <w:jc w:val="left"/>
              <w:textAlignment w:val="center"/>
              <w:rPr>
                <w:rFonts w:ascii="黑体" w:eastAsia="黑体" w:cs="黑体"/>
                <w:b/>
                <w:bCs/>
                <w:color w:val="000000"/>
                <w:sz w:val="18"/>
                <w:szCs w:val="18"/>
              </w:rPr>
            </w:pPr>
            <w:r>
              <w:rPr>
                <w:rFonts w:ascii="仿宋_GB2312" w:eastAsia="仿宋_GB2312" w:cs="仿宋_GB2312" w:hint="eastAsia"/>
                <w:color w:val="000000"/>
                <w:kern w:val="0"/>
                <w:sz w:val="18"/>
                <w:szCs w:val="18"/>
              </w:rPr>
              <w:t>2．不服许可决定应当自知道或者应当知道作出行政行为之日起六个月内提出向</w:t>
            </w:r>
            <w:r>
              <w:rPr>
                <w:rFonts w:ascii="仿宋_GB2312" w:eastAsia="仿宋_GB2312" w:cs="仿宋_GB2312" w:hint="eastAsia"/>
                <w:color w:val="000000"/>
                <w:kern w:val="0"/>
                <w:sz w:val="18"/>
                <w:szCs w:val="18"/>
                <w:lang w:eastAsia="zh-CN"/>
              </w:rPr>
              <w:t>昌黎县</w:t>
            </w:r>
            <w:r>
              <w:rPr>
                <w:rFonts w:ascii="仿宋_GB2312" w:eastAsia="仿宋_GB2312" w:cs="仿宋_GB2312" w:hint="eastAsia"/>
                <w:color w:val="000000"/>
                <w:kern w:val="0"/>
                <w:sz w:val="18"/>
                <w:szCs w:val="18"/>
              </w:rPr>
              <w:t>人民法院提起行政诉讼。</w:t>
            </w:r>
          </w:p>
        </w:tc>
      </w:tr>
      <w:tr>
        <w:trPr>
          <w:trHeight w:val="177"/>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备注</w:t>
            </w:r>
          </w:p>
        </w:tc>
        <w:tc>
          <w:tcPr>
            <w:tcW w:w="9263" w:type="dxa"/>
            <w:gridSpan w:val="8"/>
            <w:tcBorders>
              <w:tl2br w:val="nil"/>
              <w:tr2bl w:val="nil"/>
            </w:tcBorders>
            <w:shd w:val="clear" w:color="auto" w:fill="auto"/>
            <w:vAlign w:val="center"/>
          </w:tcPr>
          <w:p>
            <w:pPr>
              <w:widowControl/>
              <w:jc w:val="left"/>
              <w:textAlignment w:val="center"/>
              <w:rPr>
                <w:rFonts w:ascii="黑体" w:eastAsia="黑体" w:cs="黑体"/>
                <w:color w:val="000000"/>
                <w:kern w:val="0"/>
                <w:sz w:val="18"/>
                <w:szCs w:val="18"/>
              </w:rPr>
            </w:pPr>
          </w:p>
        </w:tc>
      </w:tr>
    </w:tbl>
    <w:p>
      <w:pPr>
        <w:spacing w:line="220" w:lineRule="atLeast"/>
      </w:pPr>
    </w:p>
    <w:sectPr>
      <w:pgSz w:w="11906" w:h="16838"/>
      <w:pgMar w:top="720" w:right="720" w:bottom="720" w:left="720" w:header="708" w:footer="708" w:gutter="0"/>
      <w:cols w:num="1" w:space="708"/>
      <w:docGrid w:linePitch="360" w:charSpace="0"/>
    </w:sectPr>
  </w:body>
</w:document>
</file>

<file path=word/fontTable.xml><?xml version="1.0" encoding="utf-8"?>
<w:fonts xmlns:w="http://schemas.openxmlformats.org/wordprocessingml/2006/main" xmlns:r="http://schemas.openxmlformats.org/officeDocument/2006/relationships">
  <w:font w:name="方正小标宋简体">
    <w:altName w:val="方正小标宋_GBK"/>
    <w:panose1 w:val="03000509000000000000"/>
    <w:charset w:val="86"/>
    <w:family w:val="script"/>
    <w:pitch w:val="variable"/>
    <w:sig w:usb0="00000001" w:usb1="080E0000" w:usb2="00000000" w:usb3="00000000" w:csb0="00040000" w:csb1="00000000"/>
  </w:font>
  <w:font w:name="黑体">
    <w:panose1 w:val="02010609060101010101"/>
    <w:charset w:val="86"/>
    <w:family w:val="auto"/>
    <w:pitch w:val="variable"/>
    <w:sig w:usb0="800002BF" w:usb1="38CF7CFA" w:usb2="00000016" w:usb3="00000000" w:csb0="00040001" w:csb1="00000000"/>
  </w:font>
  <w:font w:name="Calibri">
    <w:panose1 w:val="020F0502020204030204"/>
    <w:charset w:val="00"/>
    <w:family w:val="swiss"/>
    <w:pitch w:val="variable"/>
    <w:sig w:usb0="E00002FF" w:usb1="4000ACFF" w:usb2="00000001" w:usb3="00000000" w:csb0="2000019F" w:csb1="00000000"/>
  </w:font>
  <w:font w:name="仿宋_GB2312">
    <w:altName w:val="仿宋"/>
    <w:panose1 w:val="02010609030101010101"/>
    <w:charset w:val="86"/>
    <w:family w:val="modern"/>
    <w:pitch w:val="variable"/>
    <w:sig w:usb0="00000001" w:usb1="080E0000" w:usb2="00000000" w:usb3="00000000" w:csb0="00040000" w:csb1="00000000"/>
  </w:font>
  <w:font w:name="宋体">
    <w:panose1 w:val="02010600030101010101"/>
    <w:charset w:val="86"/>
    <w:family w:val="auto"/>
    <w:pitch w:val="variable"/>
    <w:sig w:usb0="00000003" w:usb1="080E0000" w:usb2="00000000" w:usb3="00000000" w:csb0="00040001" w:csb1="00000000"/>
  </w:font>
  <w:font w:name="仿宋">
    <w:panose1 w:val="02010609060101010101"/>
    <w:charset w:val="86"/>
    <w:family w:val="auto"/>
    <w:pitch w:val="variable"/>
    <w:sig w:usb0="800002BF" w:usb1="38CF7CFA" w:usb2="00000016" w:usb3="00000000" w:csb0="00040001" w:csb1="00000000"/>
  </w:font>
  <w:font w:name="Times New Roman">
    <w:panose1 w:val="02020603050405020304"/>
    <w:charset w:val="00"/>
    <w:family w:val="auto"/>
    <w:pitch w:val="variable"/>
    <w:sig w:usb0="00000A87" w:usb1="00000000" w:usb2="00000000" w:usb3="00000000" w:csb0="400001BF" w:csb1="DFF70000"/>
  </w:font>
  <w:font w:name="Arial">
    <w:panose1 w:val="020B0604020202020204"/>
    <w:charset w:val="01"/>
    <w:family w:val="swiss"/>
    <w:pitch w:val="variable"/>
    <w:sig w:usb0="E0002AFF" w:usb1="C0007843" w:usb2="00000009" w:usb3="00000000" w:csb0="400001FF" w:csb1="FFFF0000"/>
  </w:font>
  <w:font w:name="Tahoma">
    <w:panose1 w:val="020B0604030504040204"/>
    <w:charset w:val="00"/>
    <w:family w:val="swiss"/>
    <w:pitch w:val="variable"/>
    <w:sig w:usb0="E1002EFF" w:usb1="C000605B" w:usb2="00000029" w:usb3="00000000" w:csb0="200101FF" w:csb1="20280000"/>
  </w:font>
  <w:font w:name="微软雅黑">
    <w:panose1 w:val="020B0503020204020204"/>
    <w:charset w:val="86"/>
    <w:family w:val="swiss"/>
    <w:pitch w:val="variable"/>
    <w:sig w:usb0="80000287" w:usb1="280F3C52" w:usb2="00000016" w:usb3="00000000" w:csb0="0004001F"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720"/>
  <w:drawingGridHorizontalSpacing w:val="110"/>
  <w:drawingGridVerticalSpacing w:val="156"/>
  <w:displayHorizontalDrawingGridEvery w:val="0"/>
  <w:displayVerticalDrawingGridEvery w:val="1"/>
  <w:compat>
    <w:compatSetting w:name="compatibilityMode" w:uri="http://schemas.microsoft.com/office/word" w:val="12"/>
  </w:compat>
  <w:docVars>
    <w:docVar w:name="commondata" w:val="eyJoZGlkIjoiMzhjZGM4NWU5YjQzMDRhODI2MDc4MjM4NWZhZjE0YjA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Arial"/>
        <w:lang w:val="en-US" w:eastAsia="zh-CN" w:bidi="ar-SA"/>
      </w:rPr>
    </w:rPrDefault>
    <w:pPrDefault/>
  </w:docDefaults>
  <w:style w:type="paragraph" w:default="1" w:styleId="0">
    <w:name w:val="Normal"/>
    <w:pPr>
      <w:adjustRightInd w:val="0"/>
      <w:snapToGrid w:val="0"/>
      <w:spacing w:after="200" w:line="240" w:lineRule="auto"/>
    </w:pPr>
    <w:rPr>
      <w:rFonts w:ascii="Tahoma" w:eastAsia="微软雅黑" w:cs="Arial" w:hAnsi="Tahoma"/>
      <w:sz w:val="22"/>
      <w:szCs w:val="22"/>
      <w:lang w:val="en-US" w:eastAsia="zh-CN" w:bidi="ar-SA"/>
    </w:rPr>
  </w:style>
  <w:style w:type="paragraph" w:styleId="1">
    <w:name w:val="heading 1"/>
    <w:basedOn w:val="0"/>
    <w:next w:val="0"/>
    <w:pPr>
      <w:keepNext/>
      <w:keepLines/>
      <w:spacing w:before="340" w:after="330" w:line="578" w:lineRule="auto"/>
      <w:outlineLvl w:val="0"/>
    </w:pPr>
    <w:rPr>
      <w:b/>
      <w:bCs/>
      <w:kern w:val="44"/>
      <w:sz w:val="44"/>
      <w:szCs w:val="44"/>
    </w:rPr>
  </w:style>
  <w:style w:type="paragraph" w:styleId="2">
    <w:name w:val="heading 2"/>
    <w:basedOn w:val="0"/>
    <w:next w:val="0"/>
    <w:pPr>
      <w:keepNext/>
      <w:keepLines/>
      <w:spacing w:before="260" w:after="260" w:line="415" w:lineRule="auto"/>
      <w:outlineLvl w:val="1"/>
    </w:pPr>
    <w:rPr>
      <w:rFonts w:ascii="Times New Roman" w:eastAsia="黑体" w:hAnsi="Times New Roman"/>
      <w:b/>
      <w:bCs/>
      <w:sz w:val="32"/>
      <w:szCs w:val="32"/>
    </w:rPr>
  </w:style>
  <w:style w:type="paragraph" w:styleId="3">
    <w:name w:val="heading 3"/>
    <w:basedOn w:val="0"/>
    <w:next w:val="0"/>
    <w:pPr>
      <w:keepNext/>
      <w:keepLines/>
      <w:spacing w:before="260" w:after="260" w:line="415" w:lineRule="auto"/>
      <w:outlineLvl w:val="2"/>
    </w:pPr>
    <w:rPr>
      <w:b/>
      <w:bCs/>
      <w:sz w:val="32"/>
      <w:szCs w:val="32"/>
    </w:rPr>
  </w:style>
  <w:style w:type="character" w:default="1" w:styleId="10">
    <w:name w:val="Default Paragraph Font"/>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ustomData xmlns="http://www.yozosoft.com.cn/officeDocument/2016/customData">
  <customProps>
    <docPr revisions="3 0 5 0 0 0 1 0 0 0 3000 0 1 1 1 1"/>
    <sectPr/>
  </customProps>
</customData>
</file>

<file path=customXml/itemProps1.xml><?xml version="1.0" encoding="utf-8"?>
<ds:datastoreItem xmlns:ds="http://schemas.openxmlformats.org/officeDocument/2006/customXml" ds:itemID="{7E995531-A8C9-48E0-8C16-E2FC2F6E0703}">
  <ds:schemaRefs>
    <ds:schemaRef ds:uri="http://www.yozosoft.com.cn/officeDocument/2016/customData"/>
  </ds:schemaRefs>
</ds:datastoreItem>
</file>

<file path=docProps/app.xml><?xml version="1.0" encoding="utf-8"?>
<Properties xmlns="http://schemas.openxmlformats.org/officeDocument/2006/extended-properties">
  <Template>Normal.eit</Template>
  <TotalTime>2</TotalTime>
  <Application>Yozo_Office27021597764231179</Application>
  <Pages>1</Pages>
  <Words>0</Words>
  <Characters>1093</Characters>
  <Lines>0</Lines>
  <Paragraphs>3</Paragraphs>
  <CharactersWithSpaces>1458</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Administrator</dc:creator>
  <cp:lastModifiedBy>hp</cp:lastModifiedBy>
  <cp:revision>0</cp:revision>
  <dcterms:created xsi:type="dcterms:W3CDTF">2008-09-11T17:20:00Z</dcterms:created>
  <dcterms:modified xsi:type="dcterms:W3CDTF">2024-09-27T08:38:51Z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D3A32B1AB27748218A772BCD31D6BF50_12</vt:lpwstr>
  </property>
</Properties>
</file>