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5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66"/>
        <w:gridCol w:w="1255"/>
        <w:gridCol w:w="641"/>
        <w:gridCol w:w="1691"/>
        <w:gridCol w:w="1963"/>
        <w:gridCol w:w="851"/>
        <w:gridCol w:w="567"/>
        <w:gridCol w:w="850"/>
        <w:gridCol w:w="1337"/>
      </w:tblGrid>
      <w:tr>
        <w:trPr>
          <w:trHeight w:val="335"/>
        </w:trPr>
        <w:tc>
          <w:tcPr>
            <w:tcW w:w="13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896" w:type="dxa"/>
            <w:gridSpan w:val="2"/>
            <w:tcBorders>
              <w:tl2br w:val="nil"/>
              <w:tr2bl w:val="nil"/>
            </w:tcBorders>
            <w:shd w:val="clear" w:color="auto" w:fill="auto"/>
            <w:vAlign w:val="center"/>
          </w:tcPr>
          <w:p>
            <w:pPr>
              <w:jc w:val="center"/>
              <w:rPr>
                <w:rFonts w:ascii="黑体" w:eastAsia="黑体" w:cs="黑体" w:hint="eastAsia"/>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187"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405"/>
        </w:trPr>
        <w:tc>
          <w:tcPr>
            <w:tcW w:w="13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155"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仿宋_GB2312" w:hAnsi="宋体"/>
                <w:i w:val="0"/>
                <w:color w:val="000000"/>
                <w:kern w:val="2"/>
                <w:sz w:val="20"/>
                <w:szCs w:val="20"/>
                <w:u w:val="none"/>
                <w:lang w:val="en-US" w:eastAsia="zh-CN" w:bidi="ar-SA"/>
              </w:rPr>
            </w:pPr>
            <w:r>
              <w:rPr>
                <w:rFonts w:ascii="仿宋_GB2312" w:eastAsia="仿宋_GB2312" w:cs="仿宋_GB2312" w:hAnsi="宋体"/>
                <w:i w:val="0"/>
                <w:color w:val="000000"/>
                <w:kern w:val="0"/>
                <w:sz w:val="20"/>
                <w:szCs w:val="20"/>
                <w:u w:val="none"/>
                <w:lang w:val="en-US" w:eastAsia="zh-CN"/>
              </w:rPr>
              <w:t>对占用耕地建窑、建坟或者擅自在耕地上建房、挖砂、采石、采矿、取土等，破坏种植条件的行政处罚</w:t>
            </w:r>
          </w:p>
        </w:tc>
      </w:tr>
      <w:tr>
        <w:trPr>
          <w:trHeight w:hRule="exact" w:val="573"/>
        </w:trPr>
        <w:tc>
          <w:tcPr>
            <w:tcW w:w="1366"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155" w:type="dxa"/>
            <w:gridSpan w:val="8"/>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kern w:val="0"/>
                <w:sz w:val="18"/>
                <w:szCs w:val="18"/>
              </w:rPr>
            </w:pPr>
            <w:r>
              <w:rPr>
                <w:rFonts w:ascii="仿宋_GB2312" w:eastAsia="仿宋_GB2312" w:cs="黑体" w:hint="eastAsia"/>
                <w:kern w:val="0"/>
                <w:sz w:val="18"/>
                <w:szCs w:val="18"/>
              </w:rPr>
              <w:t>市级以上重点项目、跨乡镇区违法用地案件、黄金海岸北区由</w:t>
            </w:r>
            <w:r>
              <w:rPr>
                <w:rFonts w:ascii="仿宋_GB2312" w:eastAsia="仿宋_GB2312" w:cs="黑体" w:hAnsi="Calibri" w:hint="eastAsia"/>
                <w:kern w:val="0"/>
                <w:sz w:val="18"/>
                <w:szCs w:val="18"/>
              </w:rPr>
              <w:t>自然资源</w:t>
            </w:r>
            <w:r>
              <w:rPr>
                <w:rFonts w:ascii="仿宋_GB2312" w:eastAsia="仿宋_GB2312" w:cs="黑体" w:hint="eastAsia"/>
                <w:kern w:val="0"/>
                <w:sz w:val="18"/>
                <w:szCs w:val="18"/>
              </w:rPr>
              <w:t>和规划局负责；</w:t>
            </w:r>
          </w:p>
          <w:p>
            <w:pPr>
              <w:jc w:val="center"/>
              <w:rPr>
                <w:rFonts w:ascii="黑体" w:eastAsia="黑体" w:cs="黑体" w:hAnsi="黑体"/>
                <w:color w:val="000000"/>
                <w:kern w:val="0"/>
                <w:sz w:val="18"/>
                <w:szCs w:val="18"/>
              </w:rPr>
            </w:pPr>
            <w:r>
              <w:rPr>
                <w:rFonts w:ascii="仿宋_GB2312" w:eastAsia="仿宋_GB2312" w:cs="黑体" w:hint="eastAsia"/>
                <w:kern w:val="0"/>
                <w:sz w:val="18"/>
                <w:szCs w:val="18"/>
              </w:rPr>
              <w:t>其他区域由各乡镇（南区）政府负责</w:t>
            </w:r>
          </w:p>
        </w:tc>
      </w:tr>
      <w:tr>
        <w:trPr>
          <w:trHeight w:val="1997"/>
        </w:trPr>
        <w:tc>
          <w:tcPr>
            <w:tcW w:w="13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155"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《中华人民共和国土地管理法实施条例》（1998年12月国务院令第256号，2021年7月国务院令第743号第三次修订）第五十五条：“依照《</w:t>
            </w:r>
            <w:r>
              <w:rPr>
                <w:rFonts w:ascii="仿宋_GB2312" w:eastAsia="仿宋_GB2312" w:cs="黑体" w:hAnsi="Calibri"/>
                <w:kern w:val="0"/>
                <w:sz w:val="18"/>
                <w:szCs w:val="18"/>
              </w:rPr>
              <w:t>中华人民共和国</w:t>
            </w:r>
            <w:bookmarkStart w:id="0" w:name="_GoBack"/>
            <w:bookmarkEnd w:id="0"/>
            <w:r>
              <w:rPr>
                <w:rFonts w:ascii="仿宋_GB2312" w:eastAsia="仿宋_GB2312" w:cs="黑体" w:hAnsi="Calibri" w:hint="eastAsia"/>
                <w:kern w:val="0"/>
                <w:sz w:val="18"/>
                <w:szCs w:val="18"/>
              </w:rPr>
              <w:t>土地管理法》第七十五条的规定处以罚款的，罚款额为耕地开垦费的5倍以上10倍以下；破坏黑土地等优质耕地的，从重处罚。”</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kern w:val="0"/>
                <w:sz w:val="18"/>
                <w:szCs w:val="18"/>
              </w:rPr>
              <w:t>昌办字〔2019〕39号第（三十三）条。</w:t>
            </w:r>
          </w:p>
        </w:tc>
      </w:tr>
      <w:tr>
        <w:trPr>
          <w:trHeight w:val="420"/>
        </w:trPr>
        <w:tc>
          <w:tcPr>
            <w:tcW w:w="1366"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255"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146"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417"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337"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366" w:type="dxa"/>
            <w:vMerge/>
            <w:tcBorders>
              <w:tl2br w:val="nil"/>
              <w:tr2bl w:val="nil"/>
            </w:tcBorders>
            <w:shd w:val="clear" w:color="auto" w:fill="auto"/>
            <w:vAlign w:val="center"/>
          </w:tcPr>
          <w:p/>
        </w:tc>
        <w:tc>
          <w:tcPr>
            <w:tcW w:w="1255"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执法监察大队、黄金海岸分局</w:t>
            </w:r>
          </w:p>
        </w:tc>
      </w:tr>
      <w:tr>
        <w:trPr>
          <w:trHeight w:val="335"/>
        </w:trPr>
        <w:tc>
          <w:tcPr>
            <w:tcW w:w="1366" w:type="dxa"/>
            <w:vMerge/>
            <w:tcBorders>
              <w:tl2br w:val="nil"/>
              <w:tr2bl w:val="nil"/>
            </w:tcBorders>
            <w:shd w:val="clear" w:color="auto" w:fill="auto"/>
            <w:vAlign w:val="center"/>
          </w:tcPr>
          <w:p/>
        </w:tc>
        <w:tc>
          <w:tcPr>
            <w:tcW w:w="1255"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489"/>
        </w:trPr>
        <w:tc>
          <w:tcPr>
            <w:tcW w:w="1366" w:type="dxa"/>
            <w:vMerge/>
            <w:tcBorders>
              <w:tl2br w:val="nil"/>
              <w:tr2bl w:val="nil"/>
            </w:tcBorders>
            <w:shd w:val="clear" w:color="auto" w:fill="auto"/>
            <w:vAlign w:val="center"/>
          </w:tcPr>
          <w:p/>
        </w:tc>
        <w:tc>
          <w:tcPr>
            <w:tcW w:w="1255"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489"/>
        </w:trPr>
        <w:tc>
          <w:tcPr>
            <w:tcW w:w="1366" w:type="dxa"/>
            <w:vMerge/>
            <w:tcBorders>
              <w:tl2br w:val="nil"/>
              <w:tr2bl w:val="nil"/>
            </w:tcBorders>
            <w:shd w:val="clear" w:color="auto" w:fill="auto"/>
            <w:vAlign w:val="center"/>
          </w:tcPr>
          <w:p/>
        </w:tc>
        <w:tc>
          <w:tcPr>
            <w:tcW w:w="1255"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549"/>
        </w:trPr>
        <w:tc>
          <w:tcPr>
            <w:tcW w:w="1366" w:type="dxa"/>
            <w:vMerge/>
            <w:tcBorders>
              <w:tl2br w:val="nil"/>
              <w:tr2bl w:val="nil"/>
            </w:tcBorders>
            <w:shd w:val="clear" w:color="auto" w:fill="auto"/>
            <w:vAlign w:val="center"/>
          </w:tcPr>
          <w:p/>
        </w:tc>
        <w:tc>
          <w:tcPr>
            <w:tcW w:w="1255"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1170"/>
        </w:trPr>
        <w:tc>
          <w:tcPr>
            <w:tcW w:w="1366"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155" w:type="dxa"/>
            <w:gridSpan w:val="8"/>
            <w:tcBorders>
              <w:tl2br w:val="nil"/>
              <w:tr2bl w:val="nil"/>
            </w:tcBorders>
            <w:shd w:val="clear" w:color="auto" w:fill="auto"/>
            <w:vAlign w:val="center"/>
          </w:tcPr>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因不履行或不正确履行行政职责，有下列情形的，行政机关及相关工作人员应承担相应责任：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1、没有法律和事实依据实施行政处罚的；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2、擅自改变行政处罚种类、幅度的；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3、违反法定程序进行行政处罚的；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4、违反委托处罚规定的；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5、对违法行为未依法制止的；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6、应当依法立案查处，无正当理由未依法立案查处的；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7、在制止以及查处违法案件中受阻，依照有关规定应当向本级人民政府或者上级国土资源主管部门报告而未报告的；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8、符合听证条件、行政管理相对人要求听证，应予组织听证而不组织听证的。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9、应当依法进行行政处罚而未依法处罚的；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10、应当依法移送追究刑事责任，而未依法移送有权机关的；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11、在行政处罚过程中发生腐败行为的；</w:t>
            </w:r>
          </w:p>
          <w:p>
            <w:pPr>
              <w:widowControl w:val="0"/>
              <w:adjustRightInd/>
              <w:snapToGrid/>
              <w:spacing w:after="0" w:line="240" w:lineRule="exact"/>
              <w:jc w:val="both"/>
              <w:rPr>
                <w:rFonts w:ascii="黑体" w:eastAsia="黑体" w:cs="黑体"/>
                <w:color w:val="000000"/>
                <w:szCs w:val="21"/>
              </w:rPr>
            </w:pPr>
            <w:r>
              <w:rPr>
                <w:rFonts w:ascii="仿宋_GB2312" w:eastAsia="仿宋_GB2312" w:cs="黑体" w:hAnsi="Calibri" w:hint="eastAsia"/>
                <w:kern w:val="0"/>
                <w:sz w:val="18"/>
                <w:szCs w:val="18"/>
              </w:rPr>
              <w:t>12、其他违反法律法规规章文件规定的行为。</w:t>
            </w:r>
          </w:p>
        </w:tc>
      </w:tr>
      <w:tr>
        <w:trPr>
          <w:trHeight w:val="636"/>
        </w:trPr>
        <w:tc>
          <w:tcPr>
            <w:tcW w:w="13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15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3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15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w:t>
            </w:r>
            <w:r>
              <w:rPr>
                <w:rFonts w:ascii="仿宋_GB2312" w:eastAsia="仿宋_GB2312" w:cs="仿宋_GB2312" w:hint="eastAsia"/>
                <w:color w:val="000000"/>
                <w:kern w:val="0"/>
                <w:sz w:val="18"/>
                <w:szCs w:val="18"/>
                <w:lang w:eastAsia="zh-CN"/>
              </w:rPr>
              <w:t>向昌黎县</w:t>
            </w:r>
            <w:r>
              <w:rPr>
                <w:rFonts w:ascii="仿宋_GB2312" w:eastAsia="仿宋_GB2312" w:cs="仿宋_GB2312" w:hint="eastAsia"/>
                <w:color w:val="000000"/>
                <w:kern w:val="0"/>
                <w:sz w:val="18"/>
                <w:szCs w:val="18"/>
              </w:rPr>
              <w:t>人民法院提起行政诉讼。</w:t>
            </w:r>
          </w:p>
        </w:tc>
      </w:tr>
      <w:tr>
        <w:trPr>
          <w:trHeight w:val="228"/>
        </w:trPr>
        <w:tc>
          <w:tcPr>
            <w:tcW w:w="1366"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15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EDCE8D7B-00A9-4C42-9FEF-341E14FCF7E5}">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TotalTime>
  <Application>Yozo_Office27021597764231179</Application>
  <Pages>1</Pages>
  <Words>0</Words>
  <Characters>962</Characters>
  <Lines>0</Lines>
  <Paragraphs>3</Paragraphs>
  <CharactersWithSpaces>1283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2024-09-27T07:25:03Z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2E23ECA5CA5D4262BE812476F75912E0_12</vt:lpwstr>
  </property>
</Properties>
</file>