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 xml:space="preserve">履职行权规程 </w:t>
      </w:r>
    </w:p>
    <w:tbl>
      <w:tblPr>
        <w:tblStyle w:val="2"/>
        <w:tblW w:w="1030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64"/>
        <w:gridCol w:w="1051"/>
        <w:gridCol w:w="641"/>
        <w:gridCol w:w="1692"/>
        <w:gridCol w:w="1964"/>
        <w:gridCol w:w="993"/>
        <w:gridCol w:w="567"/>
        <w:gridCol w:w="773"/>
        <w:gridCol w:w="116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24" w:hRule="atLeast"/>
          <w:jc w:val="center"/>
        </w:trPr>
        <w:tc>
          <w:tcPr>
            <w:tcW w:w="1463"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黑体" w:eastAsia="黑体" w:cs="黑体"/>
                <w:b/>
                <w:bCs/>
                <w:color w:val="000000"/>
                <w:szCs w:val="21"/>
              </w:rPr>
            </w:pPr>
          </w:p>
        </w:tc>
        <w:tc>
          <w:tcPr>
            <w:tcW w:w="1691"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行政处罚</w:t>
            </w:r>
          </w:p>
        </w:tc>
        <w:tc>
          <w:tcPr>
            <w:tcW w:w="1559" w:type="dxa"/>
            <w:gridSpan w:val="2"/>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县自然资源和规划局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05" w:hRule="atLeast"/>
          <w:jc w:val="center"/>
        </w:trPr>
        <w:tc>
          <w:tcPr>
            <w:tcW w:w="1463"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8"/>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对编制、出版、展示、登载、更新的地图或者互联网地图服务不符合国家有关地图管理规定的处罚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05" w:hRule="atLeast"/>
          <w:jc w:val="center"/>
        </w:trPr>
        <w:tc>
          <w:tcPr>
            <w:tcW w:w="1463"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8"/>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132" w:hRule="atLeast"/>
          <w:jc w:val="center"/>
        </w:trPr>
        <w:tc>
          <w:tcPr>
            <w:tcW w:w="1463"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8"/>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ascii="仿宋_GB2312" w:eastAsia="仿宋_GB2312"/>
                <w:sz w:val="18"/>
                <w:szCs w:val="18"/>
              </w:rPr>
            </w:pPr>
            <w:r>
              <w:rPr>
                <w:rFonts w:hint="eastAsia" w:ascii="仿宋_GB2312" w:eastAsia="仿宋_GB2312"/>
                <w:sz w:val="18"/>
                <w:szCs w:val="18"/>
              </w:rPr>
              <w:t>《中华人民共和国测绘法》第六十二条  违反本法规定，编制、出版、展示、登载、更新的地图或者互联网地图服务不符合国家有关地图管理规定的，依法给予行政处罚、处分；构成犯罪的，依法追究刑事责任。</w:t>
            </w:r>
          </w:p>
          <w:p>
            <w:pPr>
              <w:spacing w:line="240" w:lineRule="exact"/>
              <w:rPr>
                <w:rFonts w:ascii="仿宋_GB2312" w:eastAsia="仿宋_GB2312"/>
                <w:sz w:val="18"/>
                <w:szCs w:val="18"/>
              </w:rPr>
            </w:pPr>
            <w:r>
              <w:rPr>
                <w:rFonts w:hint="eastAsia" w:ascii="黑体" w:hAnsi="黑体" w:eastAsia="黑体" w:cs="仿宋_GB2312"/>
                <w:kern w:val="0"/>
                <w:sz w:val="18"/>
                <w:szCs w:val="18"/>
              </w:rPr>
              <w:t>【三定规定】</w:t>
            </w:r>
          </w:p>
          <w:p>
            <w:pPr>
              <w:spacing w:line="240" w:lineRule="exact"/>
              <w:ind w:firstLine="360" w:firstLineChars="200"/>
              <w:rPr>
                <w:rFonts w:ascii="仿宋_GB2312" w:eastAsia="仿宋_GB2312" w:cs="黑体"/>
                <w:b/>
                <w:bCs/>
                <w:color w:val="000000"/>
                <w:szCs w:val="21"/>
              </w:rPr>
            </w:pPr>
            <w:r>
              <w:rPr>
                <w:rFonts w:hint="eastAsia" w:ascii="仿宋_GB2312" w:eastAsia="仿宋_GB2312" w:cs="仿宋_GB2312"/>
                <w:kern w:val="0"/>
                <w:sz w:val="18"/>
                <w:szCs w:val="18"/>
              </w:rPr>
              <w:t>昌办字</w:t>
            </w:r>
            <w:r>
              <w:rPr>
                <w:rFonts w:hint="eastAsia" w:ascii="宋体" w:hAnsi="宋体" w:cs="仿宋_GB2312"/>
                <w:kern w:val="0"/>
                <w:sz w:val="18"/>
                <w:szCs w:val="18"/>
              </w:rPr>
              <w:t>﹝</w:t>
            </w:r>
            <w:r>
              <w:rPr>
                <w:rFonts w:hint="eastAsia" w:ascii="仿宋_GB2312" w:eastAsia="仿宋_GB2312" w:cs="仿宋_GB2312"/>
                <w:kern w:val="0"/>
                <w:sz w:val="18"/>
                <w:szCs w:val="18"/>
              </w:rPr>
              <w:t>2019</w:t>
            </w:r>
            <w:r>
              <w:rPr>
                <w:rFonts w:hint="eastAsia" w:ascii="宋体" w:hAnsi="宋体" w:cs="仿宋_GB2312"/>
                <w:kern w:val="0"/>
                <w:sz w:val="18"/>
                <w:szCs w:val="18"/>
              </w:rPr>
              <w:t>﹞3</w:t>
            </w:r>
            <w:r>
              <w:rPr>
                <w:rFonts w:hint="eastAsia" w:ascii="仿宋_GB2312" w:eastAsia="仿宋_GB2312" w:cs="仿宋_GB2312"/>
                <w:kern w:val="0"/>
                <w:sz w:val="18"/>
                <w:szCs w:val="18"/>
              </w:rPr>
              <w:t>9号  第六条(三)国土空间规划局（地理信息股）</w:t>
            </w:r>
            <w:r>
              <w:rPr>
                <w:rFonts w:hint="eastAsia" w:ascii="仿宋_GB2312" w:eastAsia="仿宋_GB2312"/>
                <w:kern w:val="0"/>
                <w:sz w:val="18"/>
                <w:szCs w:val="18"/>
              </w:rPr>
              <w:t>负责地图管理， 监督互联网地图服务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20" w:hRule="atLeast"/>
          <w:jc w:val="center"/>
        </w:trPr>
        <w:tc>
          <w:tcPr>
            <w:tcW w:w="1463" w:type="dxa"/>
            <w:vMerge w:val="restar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4"/>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40" w:hRule="atLeast"/>
          <w:jc w:val="center"/>
        </w:trPr>
        <w:tc>
          <w:tcPr>
            <w:tcW w:w="1463" w:type="dxa"/>
            <w:vMerge w:val="continue"/>
            <w:tcBorders>
              <w:top w:val="single" w:color="000000" w:sz="6" w:space="0"/>
              <w:left w:val="single" w:color="000000" w:sz="6" w:space="0"/>
              <w:bottom w:val="single" w:color="000000" w:sz="6" w:space="0"/>
              <w:right w:val="single" w:color="000000" w:sz="6" w:space="0"/>
            </w:tcBorders>
            <w:vAlign w:val="center"/>
          </w:tcPr>
          <w:p>
            <w:pPr>
              <w:widowControl/>
              <w:jc w:val="left"/>
              <w:rPr>
                <w:rFonts w:ascii="黑体" w:eastAsia="黑体" w:cs="黑体"/>
                <w:b/>
                <w:bCs/>
                <w:color w:val="000000"/>
                <w:szCs w:val="21"/>
              </w:rPr>
            </w:pPr>
          </w:p>
        </w:tc>
        <w:tc>
          <w:tcPr>
            <w:tcW w:w="1050"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立案</w:t>
            </w:r>
          </w:p>
        </w:tc>
        <w:tc>
          <w:tcPr>
            <w:tcW w:w="5287" w:type="dxa"/>
            <w:gridSpan w:val="4"/>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经初步了解案件后，依法立案或不予立案（不予立案应当告知理由）</w:t>
            </w:r>
          </w:p>
        </w:tc>
        <w:tc>
          <w:tcPr>
            <w:tcW w:w="1339" w:type="dxa"/>
            <w:gridSpan w:val="2"/>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仿宋_GB2312" w:hAnsi="黑体" w:eastAsia="仿宋_GB2312" w:cs="黑体"/>
                <w:color w:val="000000"/>
                <w:sz w:val="18"/>
                <w:szCs w:val="18"/>
              </w:rPr>
            </w:pPr>
          </w:p>
        </w:tc>
        <w:tc>
          <w:tcPr>
            <w:tcW w:w="1159"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仿宋_GB2312" w:hAnsi="黑体" w:eastAsia="仿宋_GB2312" w:cs="黑体"/>
                <w:color w:val="000000"/>
                <w:sz w:val="18"/>
                <w:szCs w:val="18"/>
              </w:rPr>
            </w:pPr>
            <w:r>
              <w:rPr>
                <w:rFonts w:hint="eastAsia" w:ascii="仿宋_GB2312" w:eastAsia="仿宋_GB2312" w:cs="仿宋_GB2312"/>
                <w:kern w:val="0"/>
                <w:sz w:val="18"/>
                <w:szCs w:val="18"/>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5" w:hRule="atLeast"/>
          <w:jc w:val="center"/>
        </w:trPr>
        <w:tc>
          <w:tcPr>
            <w:tcW w:w="1463" w:type="dxa"/>
            <w:vMerge w:val="continue"/>
            <w:tcBorders>
              <w:top w:val="single" w:color="000000" w:sz="6" w:space="0"/>
              <w:left w:val="single" w:color="000000" w:sz="6" w:space="0"/>
              <w:bottom w:val="single" w:color="000000" w:sz="6" w:space="0"/>
              <w:right w:val="single" w:color="000000" w:sz="6" w:space="0"/>
            </w:tcBorders>
            <w:vAlign w:val="center"/>
          </w:tcPr>
          <w:p>
            <w:pPr>
              <w:widowControl/>
              <w:jc w:val="left"/>
              <w:rPr>
                <w:rFonts w:ascii="黑体" w:eastAsia="黑体" w:cs="黑体"/>
                <w:b/>
                <w:bCs/>
                <w:color w:val="000000"/>
                <w:szCs w:val="21"/>
              </w:rPr>
            </w:pPr>
          </w:p>
        </w:tc>
        <w:tc>
          <w:tcPr>
            <w:tcW w:w="1050"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调查取证</w:t>
            </w:r>
          </w:p>
        </w:tc>
        <w:tc>
          <w:tcPr>
            <w:tcW w:w="5287" w:type="dxa"/>
            <w:gridSpan w:val="4"/>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制作现场勘验笔录、调查询问笔录、搜集相关文件资料、现场拍照录像等</w:t>
            </w:r>
          </w:p>
        </w:tc>
        <w:tc>
          <w:tcPr>
            <w:tcW w:w="1339" w:type="dxa"/>
            <w:gridSpan w:val="2"/>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仿宋_GB2312" w:hAnsi="黑体" w:eastAsia="仿宋_GB2312" w:cs="黑体"/>
                <w:color w:val="000000"/>
                <w:sz w:val="18"/>
                <w:szCs w:val="18"/>
              </w:rPr>
            </w:pPr>
          </w:p>
        </w:tc>
        <w:tc>
          <w:tcPr>
            <w:tcW w:w="1159"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仿宋_GB2312" w:hAnsi="黑体" w:eastAsia="仿宋_GB2312" w:cs="黑体"/>
                <w:color w:val="000000"/>
                <w:sz w:val="18"/>
                <w:szCs w:val="18"/>
              </w:rPr>
            </w:pPr>
            <w:r>
              <w:rPr>
                <w:rFonts w:hint="eastAsia" w:ascii="仿宋_GB2312" w:eastAsia="仿宋_GB2312" w:cs="仿宋_GB2312"/>
                <w:kern w:val="0"/>
                <w:sz w:val="18"/>
                <w:szCs w:val="18"/>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9" w:hRule="atLeast"/>
          <w:jc w:val="center"/>
        </w:trPr>
        <w:tc>
          <w:tcPr>
            <w:tcW w:w="1463" w:type="dxa"/>
            <w:vMerge w:val="continue"/>
            <w:tcBorders>
              <w:top w:val="single" w:color="000000" w:sz="6" w:space="0"/>
              <w:left w:val="single" w:color="000000" w:sz="6" w:space="0"/>
              <w:bottom w:val="single" w:color="000000" w:sz="6" w:space="0"/>
              <w:right w:val="single" w:color="000000" w:sz="6" w:space="0"/>
            </w:tcBorders>
            <w:vAlign w:val="center"/>
          </w:tcPr>
          <w:p>
            <w:pPr>
              <w:widowControl/>
              <w:jc w:val="left"/>
              <w:rPr>
                <w:rFonts w:ascii="黑体" w:eastAsia="黑体" w:cs="黑体"/>
                <w:b/>
                <w:bCs/>
                <w:color w:val="000000"/>
                <w:szCs w:val="21"/>
              </w:rPr>
            </w:pPr>
          </w:p>
        </w:tc>
        <w:tc>
          <w:tcPr>
            <w:tcW w:w="1050"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审查</w:t>
            </w:r>
          </w:p>
        </w:tc>
        <w:tc>
          <w:tcPr>
            <w:tcW w:w="5287" w:type="dxa"/>
            <w:gridSpan w:val="4"/>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执法主体是否合法、事实是否清楚、证据是否合法充分、适用法律是否准确、执法程序是否合法等</w:t>
            </w:r>
          </w:p>
        </w:tc>
        <w:tc>
          <w:tcPr>
            <w:tcW w:w="1339" w:type="dxa"/>
            <w:gridSpan w:val="2"/>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仿宋_GB2312" w:hAnsi="黑体" w:eastAsia="仿宋_GB2312" w:cs="黑体"/>
                <w:color w:val="000000"/>
                <w:sz w:val="18"/>
                <w:szCs w:val="18"/>
              </w:rPr>
            </w:pPr>
          </w:p>
        </w:tc>
        <w:tc>
          <w:tcPr>
            <w:tcW w:w="1159"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仿宋_GB2312" w:hAnsi="黑体" w:eastAsia="仿宋_GB2312" w:cs="黑体"/>
                <w:color w:val="000000"/>
                <w:sz w:val="18"/>
                <w:szCs w:val="18"/>
              </w:rPr>
            </w:pPr>
            <w:r>
              <w:rPr>
                <w:rFonts w:hint="eastAsia" w:ascii="仿宋_GB2312" w:eastAsia="仿宋_GB2312" w:cs="仿宋_GB2312"/>
                <w:kern w:val="0"/>
                <w:sz w:val="18"/>
                <w:szCs w:val="18"/>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9" w:hRule="atLeast"/>
          <w:jc w:val="center"/>
        </w:trPr>
        <w:tc>
          <w:tcPr>
            <w:tcW w:w="1463" w:type="dxa"/>
            <w:vMerge w:val="continue"/>
            <w:tcBorders>
              <w:top w:val="single" w:color="000000" w:sz="6" w:space="0"/>
              <w:left w:val="single" w:color="000000" w:sz="6" w:space="0"/>
              <w:bottom w:val="single" w:color="000000" w:sz="6" w:space="0"/>
              <w:right w:val="single" w:color="000000" w:sz="6" w:space="0"/>
            </w:tcBorders>
            <w:vAlign w:val="center"/>
          </w:tcPr>
          <w:p>
            <w:pPr>
              <w:widowControl/>
              <w:jc w:val="left"/>
              <w:rPr>
                <w:rFonts w:ascii="黑体" w:eastAsia="黑体" w:cs="黑体"/>
                <w:b/>
                <w:bCs/>
                <w:color w:val="000000"/>
                <w:szCs w:val="21"/>
              </w:rPr>
            </w:pPr>
          </w:p>
        </w:tc>
        <w:tc>
          <w:tcPr>
            <w:tcW w:w="1050"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决定</w:t>
            </w:r>
          </w:p>
        </w:tc>
        <w:tc>
          <w:tcPr>
            <w:tcW w:w="5287" w:type="dxa"/>
            <w:gridSpan w:val="4"/>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制作事先告知书（听证告知书）、处罚决定书</w:t>
            </w:r>
          </w:p>
        </w:tc>
        <w:tc>
          <w:tcPr>
            <w:tcW w:w="1339" w:type="dxa"/>
            <w:gridSpan w:val="2"/>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仿宋_GB2312" w:hAnsi="黑体" w:eastAsia="仿宋_GB2312" w:cs="黑体"/>
                <w:color w:val="000000"/>
                <w:sz w:val="18"/>
                <w:szCs w:val="18"/>
              </w:rPr>
            </w:pPr>
          </w:p>
        </w:tc>
        <w:tc>
          <w:tcPr>
            <w:tcW w:w="1159"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仿宋_GB2312" w:hAnsi="黑体" w:eastAsia="仿宋_GB2312" w:cs="黑体"/>
                <w:color w:val="000000"/>
                <w:sz w:val="18"/>
                <w:szCs w:val="18"/>
              </w:rPr>
            </w:pPr>
            <w:r>
              <w:rPr>
                <w:rFonts w:hint="eastAsia" w:ascii="仿宋_GB2312" w:eastAsia="仿宋_GB2312" w:cs="仿宋_GB2312"/>
                <w:kern w:val="0"/>
                <w:sz w:val="18"/>
                <w:szCs w:val="18"/>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35" w:hRule="atLeast"/>
          <w:jc w:val="center"/>
        </w:trPr>
        <w:tc>
          <w:tcPr>
            <w:tcW w:w="1463" w:type="dxa"/>
            <w:vMerge w:val="continue"/>
            <w:tcBorders>
              <w:top w:val="single" w:color="000000" w:sz="6" w:space="0"/>
              <w:left w:val="single" w:color="000000" w:sz="6" w:space="0"/>
              <w:bottom w:val="single" w:color="000000" w:sz="6" w:space="0"/>
              <w:right w:val="single" w:color="000000" w:sz="6" w:space="0"/>
            </w:tcBorders>
            <w:vAlign w:val="center"/>
          </w:tcPr>
          <w:p>
            <w:pPr>
              <w:widowControl/>
              <w:jc w:val="left"/>
              <w:rPr>
                <w:rFonts w:ascii="黑体" w:eastAsia="黑体" w:cs="黑体"/>
                <w:b/>
                <w:bCs/>
                <w:color w:val="000000"/>
                <w:szCs w:val="21"/>
              </w:rPr>
            </w:pPr>
          </w:p>
        </w:tc>
        <w:tc>
          <w:tcPr>
            <w:tcW w:w="1050"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送达</w:t>
            </w:r>
          </w:p>
        </w:tc>
        <w:tc>
          <w:tcPr>
            <w:tcW w:w="5287" w:type="dxa"/>
            <w:gridSpan w:val="4"/>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rPr>
                <w:rFonts w:ascii="仿宋_GB2312" w:hAnsi="黑体" w:eastAsia="仿宋_GB2312" w:cs="黑体"/>
                <w:color w:val="000000"/>
                <w:szCs w:val="21"/>
              </w:rPr>
            </w:pPr>
            <w:r>
              <w:rPr>
                <w:rFonts w:hint="eastAsia" w:ascii="仿宋_GB2312" w:hAnsi="黑体" w:eastAsia="仿宋_GB2312" w:cs="黑体"/>
                <w:color w:val="000000"/>
                <w:sz w:val="18"/>
                <w:szCs w:val="18"/>
              </w:rPr>
              <w:t>送达相关文书，告知行政复议和行政诉讼等救济权利</w:t>
            </w:r>
          </w:p>
        </w:tc>
        <w:tc>
          <w:tcPr>
            <w:tcW w:w="1339" w:type="dxa"/>
            <w:gridSpan w:val="2"/>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仿宋_GB2312" w:hAnsi="黑体" w:eastAsia="仿宋_GB2312" w:cs="黑体"/>
                <w:color w:val="000000"/>
                <w:sz w:val="18"/>
                <w:szCs w:val="18"/>
              </w:rPr>
            </w:pPr>
          </w:p>
        </w:tc>
        <w:tc>
          <w:tcPr>
            <w:tcW w:w="1159"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jc w:val="center"/>
              <w:rPr>
                <w:rFonts w:ascii="仿宋_GB2312" w:hAnsi="黑体" w:eastAsia="仿宋_GB2312" w:cs="黑体"/>
                <w:color w:val="000000"/>
                <w:sz w:val="18"/>
                <w:szCs w:val="18"/>
              </w:rPr>
            </w:pPr>
            <w:r>
              <w:rPr>
                <w:rFonts w:hint="eastAsia" w:ascii="仿宋_GB2312" w:eastAsia="仿宋_GB2312" w:cs="仿宋_GB2312"/>
                <w:kern w:val="0"/>
                <w:sz w:val="18"/>
                <w:szCs w:val="18"/>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170" w:hRule="atLeast"/>
          <w:jc w:val="center"/>
        </w:trPr>
        <w:tc>
          <w:tcPr>
            <w:tcW w:w="1463"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8"/>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因不履行或不正确履行行政职责，有下列情形的，行政机关及相关工作人员应承担相应责任：</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1、没有法律和事实依据实施行政处罚的；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2、擅自改变行政处罚种类、幅度的；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3、违反法定程序进行行政处罚的；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4、违反委托处罚规定的；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5、对违法行为未依法制止的；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6、应当依法立案查处，无正当理由未依法立案查处的；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7、在制止以及查处违法案件中受阻，依照有关规定应当向本级人民政府或者上级国土资源主管部门报告而未报告的；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8、符合听证条件、行政管理相对人要求听证，应予组织听证而不组织听证的。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9、应当依法进行行政处罚而未依法处罚的；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10、应当依法移送追究刑事责任，而未依法移送有权机关的；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11、在行政处罚过程中发生腐败行为的；</w:t>
            </w:r>
          </w:p>
          <w:p>
            <w:pPr>
              <w:widowControl w:val="0"/>
              <w:autoSpaceDE w:val="0"/>
              <w:autoSpaceDN w:val="0"/>
              <w:adjustRightInd w:val="0"/>
              <w:snapToGrid/>
              <w:spacing w:after="0" w:line="240" w:lineRule="exact"/>
              <w:jc w:val="both"/>
              <w:rPr>
                <w:rFonts w:ascii="黑体" w:eastAsia="黑体" w:cs="黑体"/>
                <w:color w:val="000000"/>
                <w:szCs w:val="21"/>
              </w:rPr>
            </w:pPr>
            <w:r>
              <w:rPr>
                <w:rFonts w:hint="eastAsia" w:ascii="仿宋_GB2312" w:hAnsi="Calibri" w:eastAsia="仿宋_GB2312" w:cs="黑体"/>
                <w:kern w:val="0"/>
                <w:sz w:val="18"/>
                <w:szCs w:val="18"/>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6" w:hRule="atLeast"/>
          <w:jc w:val="center"/>
        </w:trPr>
        <w:tc>
          <w:tcPr>
            <w:tcW w:w="1463"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8"/>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1.业务咨询：0335-286</w:t>
            </w:r>
            <w:r>
              <w:rPr>
                <w:rFonts w:hint="eastAsia" w:ascii="仿宋_GB2312" w:hAnsi="黑体" w:eastAsia="仿宋_GB2312" w:cs="黑体"/>
                <w:color w:val="000000"/>
                <w:kern w:val="0"/>
                <w:sz w:val="18"/>
                <w:szCs w:val="18"/>
                <w:lang w:val="en-US" w:eastAsia="zh-CN"/>
              </w:rPr>
              <w:t>1602</w:t>
            </w:r>
            <w:bookmarkStart w:id="0" w:name="_GoBack"/>
            <w:bookmarkEnd w:id="0"/>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adjustRightInd/>
              <w:snapToGrid/>
              <w:spacing w:after="0" w:line="240" w:lineRule="exact"/>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86" w:hRule="atLeast"/>
          <w:jc w:val="center"/>
        </w:trPr>
        <w:tc>
          <w:tcPr>
            <w:tcW w:w="1463"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8"/>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adjustRightInd/>
              <w:snapToGrid/>
              <w:spacing w:after="0" w:line="240" w:lineRule="auto"/>
              <w:jc w:val="left"/>
              <w:textAlignment w:val="center"/>
              <w:rPr>
                <w:rFonts w:hint="eastAsia" w:ascii="仿宋_GB2312" w:hAnsi="Calibri" w:eastAsia="仿宋_GB2312" w:cs="仿宋_GB2312"/>
                <w:color w:val="000000"/>
                <w:kern w:val="0"/>
                <w:sz w:val="18"/>
                <w:szCs w:val="18"/>
              </w:rPr>
            </w:pPr>
            <w:r>
              <w:rPr>
                <w:rFonts w:hint="eastAsia" w:ascii="仿宋_GB2312" w:eastAsia="仿宋_GB2312" w:cs="仿宋_GB2312"/>
                <w:color w:val="000000"/>
                <w:kern w:val="0"/>
                <w:sz w:val="18"/>
                <w:szCs w:val="18"/>
              </w:rPr>
              <w:t>1</w:t>
            </w:r>
            <w:r>
              <w:rPr>
                <w:rFonts w:hint="eastAsia" w:ascii="仿宋_GB2312" w:hAnsi="Calibri" w:eastAsia="仿宋_GB2312" w:cs="仿宋_GB2312"/>
                <w:color w:val="000000"/>
                <w:kern w:val="0"/>
                <w:sz w:val="18"/>
                <w:szCs w:val="18"/>
              </w:rPr>
              <w:t>．不服许可决定自知道该具体行政行为之日起六十日内向</w:t>
            </w:r>
            <w:r>
              <w:rPr>
                <w:rFonts w:hint="eastAsia" w:ascii="仿宋_GB2312" w:hAnsi="Calibri" w:eastAsia="仿宋_GB2312" w:cs="仿宋_GB2312"/>
                <w:color w:val="000000"/>
                <w:kern w:val="0"/>
                <w:sz w:val="18"/>
                <w:szCs w:val="18"/>
                <w:lang w:eastAsia="zh-CN"/>
              </w:rPr>
              <w:t>县</w:t>
            </w:r>
            <w:r>
              <w:rPr>
                <w:rFonts w:hint="eastAsia" w:ascii="仿宋_GB2312" w:hAnsi="Calibri" w:eastAsia="仿宋_GB2312" w:cs="仿宋_GB2312"/>
                <w:color w:val="000000"/>
                <w:kern w:val="0"/>
                <w:sz w:val="18"/>
                <w:szCs w:val="18"/>
              </w:rPr>
              <w:t>政府申请行政复议。</w:t>
            </w:r>
          </w:p>
          <w:p>
            <w:pPr>
              <w:widowControl/>
              <w:adjustRightInd/>
              <w:snapToGrid/>
              <w:spacing w:after="0" w:line="240" w:lineRule="auto"/>
              <w:jc w:val="left"/>
              <w:textAlignment w:val="center"/>
              <w:rPr>
                <w:rFonts w:ascii="黑体" w:eastAsia="黑体" w:cs="黑体"/>
                <w:b/>
                <w:bCs/>
                <w:color w:val="000000"/>
                <w:szCs w:val="21"/>
              </w:rPr>
            </w:pPr>
            <w:r>
              <w:rPr>
                <w:rFonts w:hint="eastAsia" w:ascii="仿宋_GB2312" w:hAnsi="Calibri" w:eastAsia="仿宋_GB2312" w:cs="仿宋_GB2312"/>
                <w:color w:val="000000"/>
                <w:kern w:val="0"/>
                <w:sz w:val="18"/>
                <w:szCs w:val="18"/>
              </w:rPr>
              <w:t>2．不服许可决定应当自知道或者应当知道作出行政行为之日起六个月内提出向</w:t>
            </w:r>
            <w:r>
              <w:rPr>
                <w:rFonts w:hint="eastAsia" w:ascii="仿宋_GB2312" w:hAnsi="Calibri" w:eastAsia="仿宋_GB2312" w:cs="仿宋_GB2312"/>
                <w:color w:val="000000"/>
                <w:kern w:val="0"/>
                <w:sz w:val="18"/>
                <w:szCs w:val="18"/>
                <w:lang w:eastAsia="zh-CN"/>
              </w:rPr>
              <w:t>昌黎县</w:t>
            </w:r>
            <w:r>
              <w:rPr>
                <w:rFonts w:hint="eastAsia" w:ascii="仿宋_GB2312" w:hAnsi="Calibri"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8" w:hRule="atLeast"/>
          <w:jc w:val="center"/>
        </w:trPr>
        <w:tc>
          <w:tcPr>
            <w:tcW w:w="1463" w:type="dxa"/>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8"/>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hjZGM4NWU5YjQzMDRhODI2MDc4MjM4NWZhZjE0YjAifQ=="/>
  </w:docVars>
  <w:rsids>
    <w:rsidRoot w:val="0017296F"/>
    <w:rsid w:val="00126136"/>
    <w:rsid w:val="00164E85"/>
    <w:rsid w:val="00170196"/>
    <w:rsid w:val="0017296F"/>
    <w:rsid w:val="001B43A3"/>
    <w:rsid w:val="0022064F"/>
    <w:rsid w:val="002370EF"/>
    <w:rsid w:val="00240040"/>
    <w:rsid w:val="00356E01"/>
    <w:rsid w:val="004F6D3F"/>
    <w:rsid w:val="00523BE7"/>
    <w:rsid w:val="00542A2E"/>
    <w:rsid w:val="006A7F0F"/>
    <w:rsid w:val="007272AF"/>
    <w:rsid w:val="007D1ACD"/>
    <w:rsid w:val="00805C38"/>
    <w:rsid w:val="008078B4"/>
    <w:rsid w:val="00830821"/>
    <w:rsid w:val="00855C76"/>
    <w:rsid w:val="00913B89"/>
    <w:rsid w:val="00AA3492"/>
    <w:rsid w:val="00B86E2A"/>
    <w:rsid w:val="00D141F0"/>
    <w:rsid w:val="00D40D05"/>
    <w:rsid w:val="00D84851"/>
    <w:rsid w:val="00D96112"/>
    <w:rsid w:val="00DC262A"/>
    <w:rsid w:val="00FB5789"/>
    <w:rsid w:val="04BA4640"/>
    <w:rsid w:val="7A261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898</Words>
  <Characters>941</Characters>
  <Lines>5</Lines>
  <Paragraphs>1</Paragraphs>
  <TotalTime>0</TotalTime>
  <ScaleCrop>false</ScaleCrop>
  <LinksUpToDate>false</LinksUpToDate>
  <CharactersWithSpaces>947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2023-09-08T01:10:00Z</dcterms:created>
  <dc:creator>Administrator</dc:creator>
  <cp:lastModifiedBy>旭日东升</cp:lastModifiedBy>
  <dcterms:modified xsi:type="dcterms:W3CDTF">2024-07-12T08:01:53Z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16AD5D4592A5401284BC22D6F3F69134_12</vt:lpwstr>
  </property>
</Properties>
</file>