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843"/>
        <w:gridCol w:w="2386"/>
        <w:gridCol w:w="293"/>
        <w:gridCol w:w="19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8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84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行政处罚</w:t>
            </w:r>
          </w:p>
        </w:tc>
        <w:tc>
          <w:tcPr>
            <w:tcW w:w="267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tcBorders>
              <w:tl2br w:val="nil"/>
              <w:tr2bl w:val="nil"/>
            </w:tcBorders>
            <w:shd w:val="clear" w:color="auto" w:fill="auto"/>
            <w:vAlign w:val="center"/>
          </w:tcPr>
          <w:p>
            <w:pPr>
              <w:widowControl/>
              <w:jc w:val="both"/>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hAnsi="仿宋_GB2312" w:eastAsia="仿宋_GB2312" w:cs="仿宋_GB2312"/>
                <w:kern w:val="0"/>
                <w:sz w:val="18"/>
                <w:szCs w:val="18"/>
              </w:rPr>
              <w:t>对未按批准的利用目的和范围利用基础测绘成果或未及时回收或者销毁基础测绘成果及其衍生产品的监管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9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77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r>
              <w:rPr>
                <w:rFonts w:hint="eastAsia" w:ascii="仿宋_GB2312" w:hAnsi="仿宋_GB2312" w:eastAsia="仿宋_GB2312" w:cs="仿宋_GB2312"/>
                <w:kern w:val="0"/>
                <w:sz w:val="18"/>
                <w:szCs w:val="18"/>
              </w:rPr>
              <w:t>《河北省测绘成果管理办法》（2008年12月省政府令〔2008〕16号）第三十六条 违反本办法第二十七条第二项、第五项规定的，由测绘行政主管部门责令限期改正，并处违法所得两倍最高不超过三万元的罚款；没有违法所得的，处一千元以上一万元以下的罚款。</w:t>
            </w:r>
          </w:p>
          <w:p>
            <w:pPr>
              <w:spacing w:line="240" w:lineRule="exact"/>
              <w:ind w:firstLine="360" w:firstLineChars="200"/>
              <w:rPr>
                <w:rFonts w:hint="eastAsia"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第六条(三)国土空间规划局（地理信息股）</w:t>
            </w:r>
            <w:r>
              <w:rPr>
                <w:rFonts w:hint="eastAsia" w:ascii="仿宋_GB2312" w:eastAsia="仿宋_GB2312"/>
                <w:kern w:val="0"/>
                <w:sz w:val="18"/>
                <w:szCs w:val="18"/>
              </w:rPr>
              <w:t>负责地图管理， 监督互联网地图服务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317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238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立案</w:t>
            </w:r>
          </w:p>
        </w:tc>
        <w:tc>
          <w:tcPr>
            <w:tcW w:w="3175"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经初步了解案件后，依法立案或不予立案（不予立案应当告知理由）</w:t>
            </w:r>
          </w:p>
        </w:tc>
        <w:tc>
          <w:tcPr>
            <w:tcW w:w="2386"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调查取证</w:t>
            </w:r>
          </w:p>
        </w:tc>
        <w:tc>
          <w:tcPr>
            <w:tcW w:w="3175"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制作现场勘验笔录、调查询问笔录、搜集相关文件资料、现场拍照录像等</w:t>
            </w:r>
          </w:p>
        </w:tc>
        <w:tc>
          <w:tcPr>
            <w:tcW w:w="2386"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审查</w:t>
            </w:r>
          </w:p>
        </w:tc>
        <w:tc>
          <w:tcPr>
            <w:tcW w:w="3175"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执法主体是否合法、事实是否清楚、证据是否合法充分、适用法律是否准确、执法程序是否合法等</w:t>
            </w:r>
          </w:p>
        </w:tc>
        <w:tc>
          <w:tcPr>
            <w:tcW w:w="2386"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决定</w:t>
            </w:r>
          </w:p>
        </w:tc>
        <w:tc>
          <w:tcPr>
            <w:tcW w:w="3175"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制作事先告知书（听证告知书）、处罚决定书</w:t>
            </w:r>
          </w:p>
        </w:tc>
        <w:tc>
          <w:tcPr>
            <w:tcW w:w="2386"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hAnsi="黑体" w:eastAsia="仿宋_GB2312" w:cs="黑体"/>
                <w:color w:val="000000"/>
                <w:sz w:val="18"/>
                <w:szCs w:val="18"/>
              </w:rPr>
            </w:pPr>
            <w:r>
              <w:rPr>
                <w:rFonts w:hint="eastAsia" w:ascii="仿宋_GB2312" w:hAnsi="黑体" w:eastAsia="仿宋_GB2312" w:cs="黑体"/>
                <w:color w:val="000000"/>
                <w:sz w:val="18"/>
                <w:szCs w:val="18"/>
              </w:rPr>
              <w:t>送达</w:t>
            </w:r>
          </w:p>
        </w:tc>
        <w:tc>
          <w:tcPr>
            <w:tcW w:w="3175" w:type="dxa"/>
            <w:gridSpan w:val="3"/>
            <w:tcBorders>
              <w:tl2br w:val="nil"/>
              <w:tr2bl w:val="nil"/>
            </w:tcBorders>
            <w:shd w:val="clear" w:color="auto" w:fill="auto"/>
            <w:vAlign w:val="center"/>
          </w:tcPr>
          <w:p>
            <w:pPr>
              <w:rPr>
                <w:rFonts w:ascii="仿宋_GB2312" w:eastAsia="仿宋_GB2312" w:cs="仿宋_GB2312"/>
                <w:color w:val="000000"/>
                <w:kern w:val="0"/>
                <w:sz w:val="18"/>
                <w:szCs w:val="18"/>
              </w:rPr>
            </w:pPr>
            <w:r>
              <w:rPr>
                <w:rFonts w:hint="eastAsia" w:ascii="仿宋_GB2312" w:hAnsi="黑体" w:eastAsia="仿宋_GB2312" w:cs="黑体"/>
                <w:color w:val="000000"/>
                <w:sz w:val="18"/>
                <w:szCs w:val="18"/>
              </w:rPr>
              <w:t>送达相关文书，告知行政复议和行政诉讼等救济权利</w:t>
            </w:r>
          </w:p>
        </w:tc>
        <w:tc>
          <w:tcPr>
            <w:tcW w:w="2386" w:type="dxa"/>
            <w:tcBorders>
              <w:tl2br w:val="nil"/>
              <w:tr2bl w:val="nil"/>
            </w:tcBorders>
            <w:shd w:val="clear" w:color="auto" w:fill="auto"/>
            <w:vAlign w:val="center"/>
          </w:tcPr>
          <w:p>
            <w:pPr>
              <w:jc w:val="center"/>
              <w:rPr>
                <w:rFonts w:ascii="仿宋_GB2312" w:hAnsi="黑体" w:eastAsia="仿宋_GB2312" w:cs="黑体"/>
                <w:color w:val="000000"/>
                <w:sz w:val="18"/>
                <w:szCs w:val="18"/>
              </w:rPr>
            </w:pPr>
          </w:p>
        </w:tc>
        <w:tc>
          <w:tcPr>
            <w:tcW w:w="2224" w:type="dxa"/>
            <w:gridSpan w:val="2"/>
            <w:tcBorders>
              <w:tl2br w:val="nil"/>
              <w:tr2bl w:val="nil"/>
            </w:tcBorders>
            <w:shd w:val="clear" w:color="auto" w:fill="auto"/>
            <w:vAlign w:val="center"/>
          </w:tcPr>
          <w:p>
            <w:pPr>
              <w:jc w:val="center"/>
              <w:rPr>
                <w:rFonts w:hint="eastAsia" w:ascii="仿宋_GB2312" w:hAnsi="黑体" w:eastAsia="仿宋_GB2312" w:cs="黑体"/>
                <w:color w:val="000000"/>
                <w:sz w:val="18"/>
                <w:szCs w:val="18"/>
                <w:lang w:eastAsia="zh-CN"/>
              </w:rPr>
            </w:pPr>
            <w:r>
              <w:rPr>
                <w:rFonts w:hint="eastAsia" w:ascii="仿宋_GB2312" w:eastAsia="仿宋_GB2312" w:cs="仿宋_GB2312"/>
                <w:kern w:val="0"/>
                <w:sz w:val="18"/>
                <w:szCs w:val="18"/>
              </w:rPr>
              <w:t>地理信息股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05"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因不履行或不正确履行行政职责，有下列情形的，行政机关及相关工作人员应承担相应责任：</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1、没有法律和事实依据实施行政处罚的；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2、擅自改变行政处罚种类、幅度的；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3、违反法定程序进行行政处罚的；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4、违反委托处罚规定的；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5、对违法行为未依法制止的；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6、应当依法立案查处，无正当理由未依法立案查处的；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7、在制止以及查处违法案件中受阻，依照有关规定应当向本级人民政府或者上级国土资源主管部门报告而未报告的；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8、符合听证条件、行政管理相对人要求听证，应予组织听证而不组织听证的。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9、应当依法进行行政处罚而未依法处罚的；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10、应当依法移送追究刑事责任，而未依法移送有权机关的；</w:t>
            </w:r>
          </w:p>
          <w:p>
            <w:pPr>
              <w:widowControl w:val="0"/>
              <w:autoSpaceDE w:val="0"/>
              <w:autoSpaceDN w:val="0"/>
              <w:adjustRightInd w:val="0"/>
              <w:snapToGrid/>
              <w:spacing w:after="0" w:line="240" w:lineRule="exact"/>
              <w:jc w:val="both"/>
              <w:rPr>
                <w:rFonts w:hint="eastAsia" w:ascii="仿宋_GB2312" w:hAnsi="Calibri" w:eastAsia="仿宋_GB2312" w:cs="黑体"/>
                <w:kern w:val="0"/>
                <w:sz w:val="18"/>
                <w:szCs w:val="18"/>
              </w:rPr>
            </w:pPr>
            <w:r>
              <w:rPr>
                <w:rFonts w:hint="eastAsia" w:ascii="仿宋_GB2312" w:hAnsi="Calibri" w:eastAsia="仿宋_GB2312" w:cs="黑体"/>
                <w:kern w:val="0"/>
                <w:sz w:val="18"/>
                <w:szCs w:val="18"/>
              </w:rPr>
              <w:t>11、在行政处罚过程中发生腐败行为的；</w:t>
            </w:r>
          </w:p>
          <w:p>
            <w:pPr>
              <w:widowControl w:val="0"/>
              <w:autoSpaceDE w:val="0"/>
              <w:autoSpaceDN w:val="0"/>
              <w:adjustRightInd w:val="0"/>
              <w:snapToGrid/>
              <w:spacing w:after="0" w:line="240" w:lineRule="exact"/>
              <w:jc w:val="both"/>
              <w:rPr>
                <w:rFonts w:ascii="黑体" w:eastAsia="黑体" w:cs="黑体"/>
                <w:color w:val="000000"/>
                <w:szCs w:val="21"/>
              </w:rPr>
            </w:pPr>
            <w:r>
              <w:rPr>
                <w:rFonts w:hint="eastAsia" w:ascii="仿宋_GB2312" w:hAnsi="Calibri" w:eastAsia="仿宋_GB2312" w:cs="黑体"/>
                <w:kern w:val="0"/>
                <w:sz w:val="18"/>
                <w:szCs w:val="18"/>
              </w:rPr>
              <w:t>12、其他违反法律法规规章文件规定的行为。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adjustRightInd/>
              <w:snapToGrid/>
              <w:spacing w:after="0" w:line="240" w:lineRule="exact"/>
              <w:jc w:val="left"/>
              <w:textAlignment w:val="center"/>
              <w:rPr>
                <w:rFonts w:hint="eastAsia" w:ascii="仿宋_GB2312" w:hAnsi="黑体" w:eastAsia="仿宋_GB2312" w:cs="黑体"/>
                <w:color w:val="000000"/>
                <w:kern w:val="0"/>
                <w:sz w:val="18"/>
                <w:szCs w:val="18"/>
              </w:rPr>
            </w:pPr>
            <w:r>
              <w:rPr>
                <w:rFonts w:hint="eastAsia" w:ascii="仿宋_GB2312" w:hAnsi="黑体" w:eastAsia="仿宋_GB2312" w:cs="黑体"/>
                <w:color w:val="000000"/>
                <w:kern w:val="0"/>
                <w:sz w:val="18"/>
                <w:szCs w:val="18"/>
              </w:rPr>
              <w:t>1.业务咨询：0335-286</w:t>
            </w:r>
            <w:r>
              <w:rPr>
                <w:rFonts w:hint="eastAsia" w:ascii="仿宋_GB2312" w:hAnsi="黑体" w:eastAsia="仿宋_GB2312" w:cs="黑体"/>
                <w:color w:val="000000"/>
                <w:kern w:val="0"/>
                <w:sz w:val="18"/>
                <w:szCs w:val="18"/>
                <w:lang w:val="en-US" w:eastAsia="zh-CN"/>
              </w:rPr>
              <w:t>1602</w:t>
            </w:r>
            <w:bookmarkStart w:id="0" w:name="_GoBack"/>
            <w:bookmarkEnd w:id="0"/>
            <w:r>
              <w:rPr>
                <w:rFonts w:hint="eastAsia" w:ascii="仿宋_GB2312" w:hAnsi="黑体" w:eastAsia="仿宋_GB2312" w:cs="黑体"/>
                <w:color w:val="000000"/>
                <w:kern w:val="0"/>
                <w:sz w:val="18"/>
                <w:szCs w:val="18"/>
              </w:rPr>
              <w:br w:type="textWrapping"/>
            </w:r>
            <w:r>
              <w:rPr>
                <w:rFonts w:hint="eastAsia" w:ascii="仿宋_GB2312" w:hAnsi="黑体" w:eastAsia="仿宋_GB2312" w:cs="黑体"/>
                <w:color w:val="000000"/>
                <w:kern w:val="0"/>
                <w:sz w:val="18"/>
                <w:szCs w:val="18"/>
              </w:rP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hint="eastAsia" w:ascii="仿宋_GB2312" w:hAnsi="黑体" w:eastAsia="仿宋_GB2312" w:cs="黑体"/>
                <w:color w:val="000000"/>
                <w:kern w:val="0"/>
                <w:sz w:val="18"/>
                <w:szCs w:val="18"/>
              </w:rPr>
              <w:t>3.纪检监察投诉：县纪委第四派驻纪检监察组，电话：0335-2608801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7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adjustRightInd/>
              <w:snapToGrid/>
              <w:spacing w:after="0" w:line="240" w:lineRule="auto"/>
              <w:jc w:val="left"/>
              <w:textAlignment w:val="center"/>
              <w:rPr>
                <w:rFonts w:hint="eastAsia" w:ascii="仿宋_GB2312" w:hAnsi="Calibri" w:eastAsia="仿宋_GB2312" w:cs="仿宋_GB2312"/>
                <w:color w:val="000000"/>
                <w:kern w:val="0"/>
                <w:sz w:val="18"/>
                <w:szCs w:val="18"/>
              </w:rPr>
            </w:pPr>
            <w:r>
              <w:rPr>
                <w:rFonts w:hint="eastAsia" w:ascii="仿宋_GB2312" w:eastAsia="仿宋_GB2312" w:cs="仿宋_GB2312"/>
                <w:color w:val="000000"/>
                <w:kern w:val="0"/>
                <w:sz w:val="18"/>
                <w:szCs w:val="18"/>
              </w:rPr>
              <w:t>1</w:t>
            </w:r>
            <w:r>
              <w:rPr>
                <w:rFonts w:hint="eastAsia" w:ascii="仿宋_GB2312" w:hAnsi="Calibri" w:eastAsia="仿宋_GB2312" w:cs="仿宋_GB2312"/>
                <w:color w:val="000000"/>
                <w:kern w:val="0"/>
                <w:sz w:val="18"/>
                <w:szCs w:val="18"/>
              </w:rPr>
              <w:t>．不服许可决定自知道该具体行政行为之日起六十日内向</w:t>
            </w:r>
            <w:r>
              <w:rPr>
                <w:rFonts w:hint="eastAsia" w:ascii="仿宋_GB2312" w:hAnsi="Calibri" w:eastAsia="仿宋_GB2312" w:cs="仿宋_GB2312"/>
                <w:color w:val="000000"/>
                <w:kern w:val="0"/>
                <w:sz w:val="18"/>
                <w:szCs w:val="18"/>
                <w:lang w:eastAsia="zh-CN"/>
              </w:rPr>
              <w:t>县</w:t>
            </w:r>
            <w:r>
              <w:rPr>
                <w:rFonts w:hint="eastAsia" w:ascii="仿宋_GB2312" w:hAnsi="Calibri" w:eastAsia="仿宋_GB2312" w:cs="仿宋_GB2312"/>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hint="eastAsia" w:ascii="仿宋_GB2312" w:hAnsi="Calibri" w:eastAsia="仿宋_GB2312" w:cs="仿宋_GB2312"/>
                <w:color w:val="000000"/>
                <w:kern w:val="0"/>
                <w:sz w:val="18"/>
                <w:szCs w:val="18"/>
              </w:rPr>
              <w:t>2．不服许可决定应当自知道或者应当知道作出行政行为之日起六个月内提出向</w:t>
            </w:r>
            <w:r>
              <w:rPr>
                <w:rFonts w:hint="eastAsia" w:ascii="仿宋_GB2312" w:hAnsi="Calibri" w:eastAsia="仿宋_GB2312" w:cs="仿宋_GB2312"/>
                <w:color w:val="000000"/>
                <w:kern w:val="0"/>
                <w:sz w:val="18"/>
                <w:szCs w:val="18"/>
                <w:lang w:eastAsia="zh-CN"/>
              </w:rPr>
              <w:t>昌黎县</w:t>
            </w:r>
            <w:r>
              <w:rPr>
                <w:rFonts w:hint="eastAsia" w:ascii="仿宋_GB2312" w:hAnsi="Calibri" w:eastAsia="仿宋_GB2312" w:cs="仿宋_GB2312"/>
                <w:color w:val="000000"/>
                <w:kern w:val="0"/>
                <w:sz w:val="18"/>
                <w:szCs w:val="18"/>
              </w:rPr>
              <w:t>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widowControl/>
        <w:jc w:val="center"/>
        <w:textAlignment w:val="center"/>
      </w:pPr>
    </w:p>
    <w:sectPr>
      <w:pgSz w:w="11906" w:h="16838"/>
      <w:pgMar w:top="680" w:right="1797" w:bottom="56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 w:name="KSO_WPS_MARK_KEY" w:val="be6c8f3d-ad52-45d0-a862-4430978d2b51"/>
  </w:docVars>
  <w:rsids>
    <w:rsidRoot w:val="00481109"/>
    <w:rsid w:val="00033886"/>
    <w:rsid w:val="002415EB"/>
    <w:rsid w:val="004244E8"/>
    <w:rsid w:val="00481109"/>
    <w:rsid w:val="004E15B5"/>
    <w:rsid w:val="00BB6A98"/>
    <w:rsid w:val="00E15DC7"/>
    <w:rsid w:val="00E4248F"/>
    <w:rsid w:val="00FB0AF2"/>
    <w:rsid w:val="00FC1291"/>
    <w:rsid w:val="04B83ACC"/>
    <w:rsid w:val="0C54347C"/>
    <w:rsid w:val="128A2747"/>
    <w:rsid w:val="1AAC0209"/>
    <w:rsid w:val="2078172C"/>
    <w:rsid w:val="24FA6740"/>
    <w:rsid w:val="26AA4E16"/>
    <w:rsid w:val="3B3E0B6A"/>
    <w:rsid w:val="402E688F"/>
    <w:rsid w:val="4D1F45CA"/>
    <w:rsid w:val="599D1B32"/>
    <w:rsid w:val="5E963497"/>
    <w:rsid w:val="5FE80968"/>
    <w:rsid w:val="6D0B1414"/>
    <w:rsid w:val="70870AE3"/>
    <w:rsid w:val="774E334F"/>
    <w:rsid w:val="7A016F27"/>
    <w:rsid w:val="7B9C1180"/>
    <w:rsid w:val="7CB63E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919</Words>
  <Characters>970</Characters>
  <Lines>10</Lines>
  <Paragraphs>2</Paragraphs>
  <TotalTime>0</TotalTime>
  <ScaleCrop>false</ScaleCrop>
  <LinksUpToDate>false</LinksUpToDate>
  <CharactersWithSpaces>974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2023-10-17T01:48:00Z</dcterms:created>
  <dc:creator>Administrator</dc:creator>
  <cp:lastModifiedBy>旭日东升</cp:lastModifiedBy>
  <dcterms:modified xsi:type="dcterms:W3CDTF">2024-07-12T08:01:33Z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973E92F90B5B4E0F912235B8EC0ADD9E_12</vt:lpwstr>
  </property>
</Properties>
</file>