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4"/>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909"/>
        <w:gridCol w:w="1860"/>
        <w:gridCol w:w="168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89"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09"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行政处罚</w:t>
            </w:r>
          </w:p>
        </w:tc>
        <w:tc>
          <w:tcPr>
            <w:tcW w:w="186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684"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资源规划局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5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6"/>
            <w:tcBorders>
              <w:tl2br w:val="nil"/>
              <w:tr2bl w:val="nil"/>
            </w:tcBorders>
            <w:shd w:val="clear" w:color="auto" w:fill="auto"/>
            <w:vAlign w:val="center"/>
          </w:tcPr>
          <w:p>
            <w:pPr>
              <w:jc w:val="center"/>
              <w:rPr>
                <w:rFonts w:hint="eastAsia" w:ascii="仿宋_GB2312" w:hAnsi="仿宋_GB2312" w:eastAsia="仿宋_GB2312" w:cs="仿宋_GB2312"/>
                <w:kern w:val="0"/>
                <w:sz w:val="18"/>
                <w:szCs w:val="18"/>
                <w:lang w:eastAsia="zh-CN"/>
              </w:rPr>
            </w:pPr>
            <w:r>
              <w:rPr>
                <w:rFonts w:ascii="仿宋_GB2312" w:hAnsi="仿宋_GB2312" w:eastAsia="仿宋_GB2312" w:cs="仿宋_GB2312"/>
                <w:kern w:val="0"/>
                <w:sz w:val="18"/>
                <w:szCs w:val="18"/>
              </w:rPr>
              <w:t>对测量标志保护的监管</w:t>
            </w:r>
            <w:r>
              <w:rPr>
                <w:rFonts w:hint="eastAsia" w:ascii="仿宋_GB2312" w:hAnsi="仿宋_GB2312" w:eastAsia="仿宋_GB2312" w:cs="仿宋_GB2312"/>
                <w:kern w:val="0"/>
                <w:sz w:val="18"/>
                <w:szCs w:val="18"/>
                <w:lang w:eastAsia="zh-CN"/>
              </w:rPr>
              <w:t>和查处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9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管辖范围</w:t>
            </w:r>
          </w:p>
        </w:tc>
        <w:tc>
          <w:tcPr>
            <w:tcW w:w="8835" w:type="dxa"/>
            <w:gridSpan w:val="6"/>
            <w:tcBorders>
              <w:tl2br w:val="nil"/>
              <w:tr2bl w:val="nil"/>
            </w:tcBorders>
            <w:shd w:val="clear" w:color="auto" w:fill="auto"/>
            <w:vAlign w:val="center"/>
          </w:tcPr>
          <w:p>
            <w:pPr>
              <w:jc w:val="center"/>
              <w:rPr>
                <w:rFonts w:hint="eastAsia" w:ascii="黑体" w:hAnsi="黑体" w:eastAsia="黑体" w:cs="黑体"/>
                <w:color w:val="000000"/>
                <w:kern w:val="0"/>
                <w:sz w:val="18"/>
                <w:szCs w:val="18"/>
                <w:lang w:eastAsia="zh-CN"/>
              </w:rPr>
            </w:pPr>
            <w:r>
              <w:rPr>
                <w:rFonts w:hint="eastAsia" w:ascii="仿宋_GB2312" w:hAnsi="仿宋_GB2312" w:eastAsia="仿宋_GB2312" w:cs="仿宋_GB2312"/>
                <w:kern w:val="0"/>
                <w:sz w:val="18"/>
                <w:szCs w:val="18"/>
                <w:lang w:eastAsia="zh-CN"/>
              </w:rPr>
              <w:t>昌黎县</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772"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6"/>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r>
              <w:rPr>
                <w:rFonts w:hint="eastAsia" w:ascii="仿宋_GB2312" w:hAnsi="仿宋_GB2312" w:eastAsia="仿宋_GB2312" w:cs="仿宋_GB2312"/>
                <w:kern w:val="0"/>
                <w:sz w:val="18"/>
                <w:szCs w:val="18"/>
              </w:rPr>
              <w:t>《中华人民共和国测绘法》（2017年4月27日第十二届全国人民代表大会常务委员会第二十七次会议第二次修订第六十四条违反本法规定，有下列行为之一的，给予警告，责令改正，可以并处二十万元以下的罚款；对直接负责的主管人员和其他直接责任人员，依法给予处分；造成损失的，依法承担赔偿责任；构成犯罪的，依法追究刑事责任：（一）损毁、擅自移动永久性测量标志或者正在使用中的临时性测量标志；（二）侵占永久性测量标志用地；（三）在永久性测量标志安全控制范围内从事危害测量标志安全和使用效能的活动；（四）擅自拆迁永久性测量标志或者使永久性测量标志失去使用效能，或者拒绝支付迁建费用；（五）违反操作规程使用永久性测量标志，造成永久性测量标志毁损。</w:t>
            </w:r>
          </w:p>
          <w:p>
            <w:pPr>
              <w:spacing w:line="240" w:lineRule="exact"/>
              <w:ind w:firstLine="360" w:firstLineChars="200"/>
              <w:rPr>
                <w:rFonts w:hint="eastAsia"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ind w:firstLine="360" w:firstLineChars="200"/>
              <w:rPr>
                <w:rFonts w:ascii="仿宋_GB2312" w:eastAsia="仿宋_GB2312" w:cs="黑体"/>
                <w:b/>
                <w:bCs/>
                <w:color w:val="000000"/>
                <w:szCs w:val="21"/>
              </w:rPr>
            </w:pPr>
            <w:r>
              <w:rPr>
                <w:rFonts w:hint="eastAsia" w:ascii="仿宋_GB2312" w:eastAsia="仿宋_GB2312" w:cs="仿宋_GB2312"/>
                <w:kern w:val="0"/>
                <w:sz w:val="18"/>
                <w:szCs w:val="18"/>
              </w:rPr>
              <w:t>昌办字</w:t>
            </w:r>
            <w:r>
              <w:rPr>
                <w:rFonts w:hint="eastAsia" w:ascii="宋体" w:hAnsi="宋体" w:cs="仿宋_GB2312"/>
                <w:kern w:val="0"/>
                <w:sz w:val="18"/>
                <w:szCs w:val="18"/>
              </w:rPr>
              <w:t>﹝</w:t>
            </w:r>
            <w:r>
              <w:rPr>
                <w:rFonts w:hint="eastAsia" w:ascii="仿宋_GB2312" w:eastAsia="仿宋_GB2312" w:cs="仿宋_GB2312"/>
                <w:kern w:val="0"/>
                <w:sz w:val="18"/>
                <w:szCs w:val="18"/>
              </w:rPr>
              <w:t>2019</w:t>
            </w:r>
            <w:r>
              <w:rPr>
                <w:rFonts w:hint="eastAsia" w:ascii="宋体" w:hAnsi="宋体" w:cs="仿宋_GB2312"/>
                <w:kern w:val="0"/>
                <w:sz w:val="18"/>
                <w:szCs w:val="18"/>
              </w:rPr>
              <w:t>﹞3</w:t>
            </w:r>
            <w:r>
              <w:rPr>
                <w:rFonts w:hint="eastAsia" w:ascii="仿宋_GB2312" w:eastAsia="仿宋_GB2312" w:cs="仿宋_GB2312"/>
                <w:kern w:val="0"/>
                <w:sz w:val="18"/>
                <w:szCs w:val="18"/>
              </w:rPr>
              <w:t>9号  第六条(三)国土空间规划局（地理信息股）</w:t>
            </w:r>
            <w:r>
              <w:rPr>
                <w:rFonts w:hint="eastAsia" w:ascii="仿宋_GB2312" w:eastAsia="仿宋_GB2312"/>
                <w:kern w:val="0"/>
                <w:sz w:val="18"/>
                <w:szCs w:val="18"/>
              </w:rPr>
              <w:t>负责地图管理， 监督互联网地图服务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4241" w:type="dxa"/>
            <w:gridSpan w:val="3"/>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860"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684"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3" w:hRule="atLeast"/>
          <w:jc w:val="center"/>
        </w:trPr>
        <w:tc>
          <w:tcPr>
            <w:tcW w:w="1463" w:type="dxa"/>
            <w:vMerge w:val="continue"/>
            <w:tcBorders>
              <w:tl2br w:val="nil"/>
              <w:tr2bl w:val="nil"/>
            </w:tcBorders>
            <w:shd w:val="clear" w:color="auto" w:fill="auto"/>
            <w:vAlign w:val="center"/>
          </w:tcPr>
          <w:p>
            <w:pPr>
              <w:spacing w:line="240" w:lineRule="exact"/>
            </w:pPr>
          </w:p>
        </w:tc>
        <w:tc>
          <w:tcPr>
            <w:tcW w:w="1050" w:type="dxa"/>
            <w:tcBorders>
              <w:tl2br w:val="nil"/>
              <w:tr2bl w:val="nil"/>
            </w:tcBorders>
            <w:shd w:val="clear" w:color="auto" w:fill="auto"/>
            <w:vAlign w:val="center"/>
          </w:tcPr>
          <w:p>
            <w:pPr>
              <w:spacing w:line="240" w:lineRule="exact"/>
              <w:jc w:val="center"/>
              <w:rPr>
                <w:rFonts w:ascii="黑体" w:eastAsia="黑体" w:cs="黑体"/>
                <w:b/>
                <w:bCs/>
                <w:color w:val="000000"/>
                <w:sz w:val="18"/>
                <w:szCs w:val="18"/>
              </w:rPr>
            </w:pPr>
            <w:r>
              <w:rPr>
                <w:rFonts w:ascii="黑体" w:eastAsia="黑体" w:cs="黑体"/>
                <w:b/>
                <w:bCs/>
                <w:color w:val="000000"/>
                <w:sz w:val="18"/>
                <w:szCs w:val="18"/>
              </w:rPr>
              <w:t>日常检查</w:t>
            </w:r>
          </w:p>
        </w:tc>
        <w:tc>
          <w:tcPr>
            <w:tcW w:w="4241" w:type="dxa"/>
            <w:gridSpan w:val="3"/>
            <w:tcBorders>
              <w:tl2br w:val="nil"/>
              <w:tr2bl w:val="nil"/>
            </w:tcBorders>
            <w:shd w:val="clear" w:color="auto" w:fill="auto"/>
            <w:vAlign w:val="center"/>
          </w:tcPr>
          <w:p>
            <w:pPr>
              <w:spacing w:line="240" w:lineRule="exact"/>
              <w:jc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开展测量标志日常检查、定期普查或根据举报线索开展专项检查</w:t>
            </w:r>
          </w:p>
        </w:tc>
        <w:tc>
          <w:tcPr>
            <w:tcW w:w="1860" w:type="dxa"/>
            <w:vMerge w:val="restart"/>
            <w:tcBorders>
              <w:tl2br w:val="nil"/>
              <w:tr2bl w:val="nil"/>
            </w:tcBorders>
            <w:shd w:val="clear" w:color="auto" w:fill="auto"/>
            <w:vAlign w:val="center"/>
          </w:tcPr>
          <w:p>
            <w:pPr>
              <w:spacing w:line="240" w:lineRule="exact"/>
              <w:jc w:val="center"/>
              <w:rPr>
                <w:rFonts w:ascii="仿宋" w:hAnsi="仿宋" w:eastAsia="仿宋" w:cs="黑体"/>
                <w:color w:val="000000"/>
                <w:sz w:val="18"/>
                <w:szCs w:val="18"/>
              </w:rPr>
            </w:pPr>
            <w:r>
              <w:rPr>
                <w:rFonts w:hint="eastAsia" w:ascii="仿宋_GB2312" w:hAnsi="黑体" w:eastAsia="仿宋_GB2312" w:cs="黑体"/>
                <w:color w:val="000000"/>
                <w:sz w:val="18"/>
                <w:szCs w:val="18"/>
              </w:rPr>
              <w:t>作出行政处罚决定的期限为立案之日起九十日内。案情复杂不能在规定期限内作出行政处罚决定的，报本级自然资源主管部门负责人批准，可以适当延长，但延长期限原则上不超过三十日，案情特别复杂的除外。立案查处过程中不计入前款期限的情形，依照相关法律法规的规定执行。</w:t>
            </w:r>
          </w:p>
        </w:tc>
        <w:tc>
          <w:tcPr>
            <w:tcW w:w="1684" w:type="dxa"/>
            <w:tcBorders>
              <w:tl2br w:val="nil"/>
              <w:tr2bl w:val="nil"/>
            </w:tcBorders>
            <w:shd w:val="clear" w:color="auto" w:fill="auto"/>
            <w:vAlign w:val="center"/>
          </w:tcPr>
          <w:p>
            <w:pPr>
              <w:spacing w:line="240" w:lineRule="exact"/>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eastAsia="zh-CN"/>
              </w:rPr>
              <w:t>地理信息股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74" w:hRule="atLeast"/>
          <w:jc w:val="center"/>
        </w:trPr>
        <w:tc>
          <w:tcPr>
            <w:tcW w:w="1463" w:type="dxa"/>
            <w:vMerge w:val="continue"/>
            <w:tcBorders>
              <w:tl2br w:val="nil"/>
              <w:tr2bl w:val="nil"/>
            </w:tcBorders>
            <w:shd w:val="clear" w:color="auto" w:fill="auto"/>
            <w:vAlign w:val="center"/>
          </w:tcPr>
          <w:p>
            <w:pPr>
              <w:spacing w:line="240" w:lineRule="exact"/>
            </w:pPr>
          </w:p>
        </w:tc>
        <w:tc>
          <w:tcPr>
            <w:tcW w:w="1050" w:type="dxa"/>
            <w:tcBorders>
              <w:tl2br w:val="nil"/>
              <w:tr2bl w:val="nil"/>
            </w:tcBorders>
            <w:shd w:val="clear" w:color="auto" w:fill="auto"/>
            <w:vAlign w:val="center"/>
          </w:tcPr>
          <w:p>
            <w:pPr>
              <w:spacing w:line="240" w:lineRule="exact"/>
              <w:jc w:val="center"/>
              <w:rPr>
                <w:rFonts w:ascii="黑体" w:eastAsia="黑体" w:cs="黑体"/>
                <w:b/>
                <w:bCs/>
                <w:color w:val="000000"/>
                <w:sz w:val="18"/>
                <w:szCs w:val="18"/>
              </w:rPr>
            </w:pPr>
            <w:r>
              <w:rPr>
                <w:rFonts w:hint="eastAsia" w:ascii="黑体" w:eastAsia="黑体" w:cs="黑体"/>
                <w:b/>
                <w:bCs/>
                <w:color w:val="000000"/>
                <w:sz w:val="18"/>
                <w:szCs w:val="18"/>
              </w:rPr>
              <w:t>调查</w:t>
            </w:r>
          </w:p>
        </w:tc>
        <w:tc>
          <w:tcPr>
            <w:tcW w:w="4241" w:type="dxa"/>
            <w:gridSpan w:val="3"/>
            <w:tcBorders>
              <w:tl2br w:val="nil"/>
              <w:tr2bl w:val="nil"/>
            </w:tcBorders>
            <w:shd w:val="clear" w:color="auto" w:fill="auto"/>
            <w:vAlign w:val="center"/>
          </w:tcPr>
          <w:p>
            <w:pPr>
              <w:spacing w:line="240" w:lineRule="exact"/>
              <w:jc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根据日常检查、定期普查或举报发现的线索，进行调查核实</w:t>
            </w:r>
          </w:p>
        </w:tc>
        <w:tc>
          <w:tcPr>
            <w:tcW w:w="1860" w:type="dxa"/>
            <w:vMerge w:val="continue"/>
            <w:tcBorders>
              <w:tl2br w:val="nil"/>
              <w:tr2bl w:val="nil"/>
            </w:tcBorders>
            <w:shd w:val="clear" w:color="auto" w:fill="auto"/>
            <w:vAlign w:val="center"/>
          </w:tcPr>
          <w:p>
            <w:pPr>
              <w:spacing w:line="240" w:lineRule="exact"/>
              <w:jc w:val="center"/>
              <w:rPr>
                <w:rFonts w:ascii="仿宋" w:hAnsi="仿宋" w:eastAsia="仿宋" w:cs="黑体"/>
                <w:color w:val="000000"/>
                <w:sz w:val="18"/>
                <w:szCs w:val="18"/>
              </w:rPr>
            </w:pPr>
          </w:p>
        </w:tc>
        <w:tc>
          <w:tcPr>
            <w:tcW w:w="1684" w:type="dxa"/>
            <w:tcBorders>
              <w:tl2br w:val="nil"/>
              <w:tr2bl w:val="nil"/>
            </w:tcBorders>
            <w:shd w:val="clear" w:color="auto" w:fill="auto"/>
            <w:vAlign w:val="center"/>
          </w:tcPr>
          <w:p>
            <w:pPr>
              <w:spacing w:line="240" w:lineRule="exact"/>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eastAsia="zh-CN"/>
              </w:rPr>
              <w:t>地理信息股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634" w:hRule="atLeast"/>
          <w:jc w:val="center"/>
        </w:trPr>
        <w:tc>
          <w:tcPr>
            <w:tcW w:w="1463" w:type="dxa"/>
            <w:vMerge w:val="continue"/>
            <w:tcBorders>
              <w:tl2br w:val="nil"/>
              <w:tr2bl w:val="nil"/>
            </w:tcBorders>
            <w:shd w:val="clear" w:color="auto" w:fill="auto"/>
            <w:vAlign w:val="center"/>
          </w:tcPr>
          <w:p>
            <w:pPr>
              <w:spacing w:line="240" w:lineRule="exact"/>
            </w:pPr>
          </w:p>
        </w:tc>
        <w:tc>
          <w:tcPr>
            <w:tcW w:w="1050" w:type="dxa"/>
            <w:tcBorders>
              <w:tl2br w:val="nil"/>
              <w:tr2bl w:val="nil"/>
            </w:tcBorders>
            <w:shd w:val="clear" w:color="auto" w:fill="auto"/>
            <w:vAlign w:val="center"/>
          </w:tcPr>
          <w:p>
            <w:pPr>
              <w:spacing w:line="240" w:lineRule="exact"/>
              <w:jc w:val="center"/>
              <w:rPr>
                <w:rFonts w:ascii="黑体" w:eastAsia="黑体" w:cs="黑体"/>
                <w:b/>
                <w:bCs/>
                <w:color w:val="000000"/>
                <w:sz w:val="18"/>
                <w:szCs w:val="18"/>
              </w:rPr>
            </w:pPr>
            <w:r>
              <w:rPr>
                <w:rFonts w:hint="eastAsia" w:ascii="黑体" w:eastAsia="黑体" w:cs="黑体"/>
                <w:b/>
                <w:bCs/>
                <w:color w:val="000000"/>
                <w:sz w:val="18"/>
                <w:szCs w:val="18"/>
              </w:rPr>
              <w:t>处理</w:t>
            </w:r>
          </w:p>
        </w:tc>
        <w:tc>
          <w:tcPr>
            <w:tcW w:w="4241" w:type="dxa"/>
            <w:gridSpan w:val="3"/>
            <w:tcBorders>
              <w:tl2br w:val="nil"/>
              <w:tr2bl w:val="nil"/>
            </w:tcBorders>
            <w:shd w:val="clear" w:color="auto" w:fill="auto"/>
            <w:vAlign w:val="center"/>
          </w:tcPr>
          <w:p>
            <w:pPr>
              <w:spacing w:line="240" w:lineRule="exact"/>
              <w:jc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对经查实存在损毁、擅自移动永久性测量标志或者正在使用中的临时性测量标志，侵占永久性测量标志用地，在永久性测量标志安全控制范围内从事危害测量标志安全和使用效能的活动，擅自拆迁永久性测量标志或者使永久性测量标志失去使用效能，或者拒绝支付迁建费用，违反操作规程使用永久性测量标志，造成永久性测量标志毁损等行为的给予警告，责令其整改，并处以罚款</w:t>
            </w:r>
          </w:p>
        </w:tc>
        <w:tc>
          <w:tcPr>
            <w:tcW w:w="1860" w:type="dxa"/>
            <w:vMerge w:val="continue"/>
            <w:tcBorders>
              <w:tl2br w:val="nil"/>
              <w:tr2bl w:val="nil"/>
            </w:tcBorders>
            <w:shd w:val="clear" w:color="auto" w:fill="auto"/>
            <w:vAlign w:val="center"/>
          </w:tcPr>
          <w:p>
            <w:pPr>
              <w:spacing w:line="240" w:lineRule="exact"/>
              <w:jc w:val="center"/>
              <w:rPr>
                <w:rFonts w:ascii="仿宋" w:hAnsi="仿宋" w:eastAsia="仿宋" w:cs="黑体"/>
                <w:color w:val="000000"/>
                <w:sz w:val="18"/>
                <w:szCs w:val="18"/>
              </w:rPr>
            </w:pPr>
          </w:p>
        </w:tc>
        <w:tc>
          <w:tcPr>
            <w:tcW w:w="1684" w:type="dxa"/>
            <w:tcBorders>
              <w:tl2br w:val="nil"/>
              <w:tr2bl w:val="nil"/>
            </w:tcBorders>
            <w:shd w:val="clear" w:color="auto" w:fill="auto"/>
            <w:vAlign w:val="center"/>
          </w:tcPr>
          <w:p>
            <w:pPr>
              <w:spacing w:line="240" w:lineRule="exact"/>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eastAsia="zh-CN"/>
              </w:rPr>
              <w:t>地理信息股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05" w:hRule="atLeast"/>
          <w:jc w:val="center"/>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6"/>
            <w:tcBorders>
              <w:tl2br w:val="nil"/>
              <w:tr2bl w:val="nil"/>
            </w:tcBorders>
            <w:shd w:val="clear" w:color="auto" w:fill="auto"/>
            <w:vAlign w:val="center"/>
          </w:tcPr>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因不履行或不正确履行行政职责，有下列情形的，行政机关及相关工作人员应承担相应责任：</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1、没有法律和事实依据实施行政处罚的；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2、擅自改变行政处罚种类、幅度的；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3、违反法定程序进行行政处罚的；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4、违反委托处罚规定的；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5、对违法行为未依法制止的；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6、应当依法立案查处，无正当理由未依法立案查处的；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7、在制止以及查处违法案件中受阻，依照有关规定应当向本级人民政府或者上级国土资源主管部门报告而未报告的；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8、符合听证条件、行政管理相对人要求听证，应予组织听证而不组织听证的。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9、应当依法进行行政处罚而未依法处罚的；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10、应当依法移送追究刑事责任，而未依法移送有权机关的；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11、在行政处罚过程中发生腐败行为的；</w:t>
            </w:r>
          </w:p>
          <w:p>
            <w:pPr>
              <w:widowControl w:val="0"/>
              <w:autoSpaceDE w:val="0"/>
              <w:autoSpaceDN w:val="0"/>
              <w:adjustRightInd w:val="0"/>
              <w:snapToGrid/>
              <w:spacing w:after="0" w:line="240" w:lineRule="exact"/>
              <w:jc w:val="both"/>
              <w:rPr>
                <w:rFonts w:ascii="黑体" w:eastAsia="黑体" w:cs="黑体"/>
                <w:color w:val="000000"/>
                <w:szCs w:val="21"/>
              </w:rPr>
            </w:pPr>
            <w:r>
              <w:rPr>
                <w:rFonts w:hint="eastAsia" w:ascii="仿宋_GB2312" w:hAnsi="Calibri" w:eastAsia="仿宋_GB2312" w:cs="黑体"/>
                <w:kern w:val="0"/>
                <w:sz w:val="18"/>
                <w:szCs w:val="18"/>
              </w:rPr>
              <w:t>12、其他违反法律法规规章文件规定的行为。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6"/>
            <w:tcBorders>
              <w:tl2br w:val="nil"/>
              <w:tr2bl w:val="nil"/>
            </w:tcBorders>
            <w:shd w:val="clear" w:color="auto" w:fill="auto"/>
            <w:vAlign w:val="center"/>
          </w:tcPr>
          <w:p>
            <w:pPr>
              <w:widowControl/>
              <w:adjustRightInd/>
              <w:snapToGrid/>
              <w:spacing w:after="0" w:line="240" w:lineRule="exact"/>
              <w:jc w:val="left"/>
              <w:textAlignment w:val="center"/>
              <w:rPr>
                <w:rFonts w:hint="eastAsia" w:ascii="仿宋_GB2312" w:hAnsi="黑体" w:eastAsia="仿宋_GB2312" w:cs="黑体"/>
                <w:color w:val="000000"/>
                <w:kern w:val="0"/>
                <w:sz w:val="18"/>
                <w:szCs w:val="18"/>
              </w:rPr>
            </w:pPr>
            <w:r>
              <w:rPr>
                <w:rFonts w:hint="eastAsia" w:ascii="仿宋_GB2312" w:hAnsi="黑体" w:eastAsia="仿宋_GB2312" w:cs="黑体"/>
                <w:color w:val="000000"/>
                <w:kern w:val="0"/>
                <w:sz w:val="18"/>
                <w:szCs w:val="18"/>
              </w:rPr>
              <w:t>1.业务咨询：0335-286</w:t>
            </w:r>
            <w:r>
              <w:rPr>
                <w:rFonts w:hint="eastAsia" w:ascii="仿宋_GB2312" w:hAnsi="黑体" w:eastAsia="仿宋_GB2312" w:cs="黑体"/>
                <w:color w:val="000000"/>
                <w:kern w:val="0"/>
                <w:sz w:val="18"/>
                <w:szCs w:val="18"/>
                <w:lang w:val="en-US" w:eastAsia="zh-CN"/>
              </w:rPr>
              <w:t>1602</w:t>
            </w:r>
            <w:bookmarkStart w:id="0" w:name="_GoBack"/>
            <w:bookmarkEnd w:id="0"/>
            <w:r>
              <w:rPr>
                <w:rFonts w:hint="eastAsia" w:ascii="仿宋_GB2312" w:hAnsi="黑体" w:eastAsia="仿宋_GB2312" w:cs="黑体"/>
                <w:color w:val="000000"/>
                <w:kern w:val="0"/>
                <w:sz w:val="18"/>
                <w:szCs w:val="18"/>
              </w:rPr>
              <w:br w:type="textWrapping"/>
            </w:r>
            <w:r>
              <w:rPr>
                <w:rFonts w:hint="eastAsia" w:ascii="仿宋_GB2312" w:hAnsi="黑体" w:eastAsia="仿宋_GB2312" w:cs="黑体"/>
                <w:color w:val="000000"/>
                <w:kern w:val="0"/>
                <w:sz w:val="18"/>
                <w:szCs w:val="18"/>
              </w:rPr>
              <w:t>2.投诉举报电话：0335-2022626</w:t>
            </w:r>
          </w:p>
          <w:p>
            <w:pPr>
              <w:widowControl/>
              <w:adjustRightInd/>
              <w:snapToGrid/>
              <w:spacing w:after="0" w:line="240" w:lineRule="exact"/>
              <w:jc w:val="left"/>
              <w:textAlignment w:val="center"/>
              <w:rPr>
                <w:rFonts w:ascii="黑体" w:eastAsia="黑体" w:cs="黑体"/>
                <w:color w:val="000000"/>
                <w:sz w:val="24"/>
              </w:rPr>
            </w:pPr>
            <w:r>
              <w:rPr>
                <w:rFonts w:hint="eastAsia" w:ascii="仿宋_GB2312" w:hAnsi="黑体" w:eastAsia="仿宋_GB2312" w:cs="黑体"/>
                <w:color w:val="000000"/>
                <w:kern w:val="0"/>
                <w:sz w:val="18"/>
                <w:szCs w:val="18"/>
              </w:rPr>
              <w:t>3.纪检监察投诉：县纪委第四派驻纪检监察组，电话：0335-2608801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7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6"/>
            <w:tcBorders>
              <w:tl2br w:val="nil"/>
              <w:tr2bl w:val="nil"/>
            </w:tcBorders>
            <w:shd w:val="clear" w:color="auto" w:fill="auto"/>
            <w:vAlign w:val="center"/>
          </w:tcPr>
          <w:p>
            <w:pPr>
              <w:widowControl/>
              <w:adjustRightInd/>
              <w:snapToGrid/>
              <w:spacing w:after="0" w:line="240" w:lineRule="auto"/>
              <w:jc w:val="left"/>
              <w:textAlignment w:val="center"/>
              <w:rPr>
                <w:rFonts w:hint="eastAsia" w:ascii="仿宋_GB2312" w:hAnsi="Calibri" w:eastAsia="仿宋_GB2312" w:cs="仿宋_GB2312"/>
                <w:color w:val="000000"/>
                <w:kern w:val="0"/>
                <w:sz w:val="18"/>
                <w:szCs w:val="18"/>
              </w:rPr>
            </w:pPr>
            <w:r>
              <w:rPr>
                <w:rFonts w:hint="eastAsia" w:ascii="仿宋_GB2312" w:eastAsia="仿宋_GB2312" w:cs="仿宋_GB2312"/>
                <w:color w:val="000000"/>
                <w:kern w:val="0"/>
                <w:sz w:val="18"/>
                <w:szCs w:val="18"/>
              </w:rPr>
              <w:t>1</w:t>
            </w:r>
            <w:r>
              <w:rPr>
                <w:rFonts w:hint="eastAsia" w:ascii="仿宋_GB2312" w:hAnsi="Calibri" w:eastAsia="仿宋_GB2312" w:cs="仿宋_GB2312"/>
                <w:color w:val="000000"/>
                <w:kern w:val="0"/>
                <w:sz w:val="18"/>
                <w:szCs w:val="18"/>
              </w:rPr>
              <w:t>．不服许可决定自知道该具体行政行为之日起六十日内向</w:t>
            </w:r>
            <w:r>
              <w:rPr>
                <w:rFonts w:hint="eastAsia" w:ascii="仿宋_GB2312" w:hAnsi="Calibri" w:eastAsia="仿宋_GB2312" w:cs="仿宋_GB2312"/>
                <w:color w:val="000000"/>
                <w:kern w:val="0"/>
                <w:sz w:val="18"/>
                <w:szCs w:val="18"/>
                <w:lang w:eastAsia="zh-CN"/>
              </w:rPr>
              <w:t>县</w:t>
            </w:r>
            <w:r>
              <w:rPr>
                <w:rFonts w:hint="eastAsia" w:ascii="仿宋_GB2312" w:hAnsi="Calibri" w:eastAsia="仿宋_GB2312" w:cs="仿宋_GB2312"/>
                <w:color w:val="000000"/>
                <w:kern w:val="0"/>
                <w:sz w:val="18"/>
                <w:szCs w:val="18"/>
              </w:rPr>
              <w:t>政府申请行政复议。</w:t>
            </w:r>
          </w:p>
          <w:p>
            <w:pPr>
              <w:widowControl/>
              <w:adjustRightInd/>
              <w:snapToGrid/>
              <w:spacing w:after="0" w:line="240" w:lineRule="auto"/>
              <w:jc w:val="left"/>
              <w:textAlignment w:val="center"/>
              <w:rPr>
                <w:rFonts w:ascii="黑体" w:eastAsia="黑体" w:cs="黑体"/>
                <w:b/>
                <w:bCs/>
                <w:color w:val="000000"/>
                <w:szCs w:val="21"/>
              </w:rPr>
            </w:pPr>
            <w:r>
              <w:rPr>
                <w:rFonts w:hint="eastAsia" w:ascii="仿宋_GB2312" w:hAnsi="Calibri" w:eastAsia="仿宋_GB2312" w:cs="仿宋_GB2312"/>
                <w:color w:val="000000"/>
                <w:kern w:val="0"/>
                <w:sz w:val="18"/>
                <w:szCs w:val="18"/>
              </w:rPr>
              <w:t>2．不服许可决定应当自知道或者应当知道作出行政行为之日起六个月内提出向</w:t>
            </w:r>
            <w:r>
              <w:rPr>
                <w:rFonts w:hint="eastAsia" w:ascii="仿宋_GB2312" w:hAnsi="Calibri" w:eastAsia="仿宋_GB2312" w:cs="仿宋_GB2312"/>
                <w:color w:val="000000"/>
                <w:kern w:val="0"/>
                <w:sz w:val="18"/>
                <w:szCs w:val="18"/>
                <w:lang w:eastAsia="zh-CN"/>
              </w:rPr>
              <w:t>昌黎县</w:t>
            </w:r>
            <w:r>
              <w:rPr>
                <w:rFonts w:hint="eastAsia" w:ascii="仿宋_GB2312" w:hAnsi="Calibri" w:eastAsia="仿宋_GB2312" w:cs="仿宋_GB2312"/>
                <w:color w:val="000000"/>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6"/>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191" w:right="1797" w:bottom="102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hjZGM4NWU5YjQzMDRhODI2MDc4MjM4NWZhZjE0YjAifQ=="/>
    <w:docVar w:name="KSO_WPS_MARK_KEY" w:val="3a146232-12da-4fa4-a795-7997aae224cb"/>
  </w:docVars>
  <w:rsids>
    <w:rsidRoot w:val="00481109"/>
    <w:rsid w:val="001B1525"/>
    <w:rsid w:val="002415EB"/>
    <w:rsid w:val="00481109"/>
    <w:rsid w:val="007E31A8"/>
    <w:rsid w:val="00A50F78"/>
    <w:rsid w:val="00E15DC7"/>
    <w:rsid w:val="07563827"/>
    <w:rsid w:val="128A2747"/>
    <w:rsid w:val="1AAC0209"/>
    <w:rsid w:val="202A07E3"/>
    <w:rsid w:val="24FA6740"/>
    <w:rsid w:val="26AA4E16"/>
    <w:rsid w:val="2B2454BC"/>
    <w:rsid w:val="2D9F68AE"/>
    <w:rsid w:val="3B3E0B6A"/>
    <w:rsid w:val="402E688F"/>
    <w:rsid w:val="426D291E"/>
    <w:rsid w:val="4D1F45CA"/>
    <w:rsid w:val="5A0F7D0C"/>
    <w:rsid w:val="5FE80968"/>
    <w:rsid w:val="774E334F"/>
    <w:rsid w:val="7A016F27"/>
    <w:rsid w:val="7B9C1180"/>
    <w:rsid w:val="7CB63E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hAnsi="Calibri" w:eastAsia="宋体" w:cs="Arial"/>
      <w:kern w:val="2"/>
      <w:sz w:val="18"/>
      <w:szCs w:val="18"/>
    </w:rPr>
  </w:style>
  <w:style w:type="character" w:customStyle="1" w:styleId="7">
    <w:name w:val="页脚 Char"/>
    <w:basedOn w:val="5"/>
    <w:link w:val="2"/>
    <w:qFormat/>
    <w:uiPriority w:val="0"/>
    <w:rPr>
      <w:rFonts w:ascii="Calibri" w:hAnsi="Calibri" w:eastAsia="宋体" w:cs="Arial"/>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1266</Words>
  <Characters>1313</Characters>
  <Lines>11</Lines>
  <Paragraphs>3</Paragraphs>
  <TotalTime>0</TotalTime>
  <ScaleCrop>false</ScaleCrop>
  <LinksUpToDate>false</LinksUpToDate>
  <CharactersWithSpaces>1316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2023-10-17T01:48:00Z</dcterms:created>
  <dc:creator>Administrator</dc:creator>
  <cp:lastModifiedBy>旭日东升</cp:lastModifiedBy>
  <dcterms:modified xsi:type="dcterms:W3CDTF">2024-07-12T08:01:21Z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973E92F90B5B4E0F912235B8EC0ADD9E_12</vt:lpwstr>
  </property>
</Properties>
</file>