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hint="eastAsia" w:ascii="方正小标宋简体" w:eastAsia="方正小标宋简体" w:cs="方正小标宋简体"/>
          <w:color w:val="000000"/>
          <w:kern w:val="0"/>
          <w:sz w:val="32"/>
          <w:szCs w:val="32"/>
        </w:rPr>
        <w:t>履职行权规程</w:t>
      </w:r>
    </w:p>
    <w:tbl>
      <w:tblPr>
        <w:tblStyle w:val="2"/>
        <w:tblW w:w="106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19" w:hRule="atLeast"/>
          <w:jc w:val="center"/>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黑体" w:hAnsi="Calibri" w:eastAsia="黑体" w:cs="黑体"/>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hint="default" w:ascii="黑体" w:hAnsi="Calibri" w:eastAsia="黑体" w:cs="黑体"/>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黑体" w:hAnsi="Calibri" w:eastAsia="黑体" w:cs="黑体"/>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仿宋_GB2312" w:hAnsi="宋体" w:eastAsia="仿宋_GB2312" w:cs="仿宋_GB2312"/>
                <w:i w:val="0"/>
                <w:color w:val="000000"/>
                <w:kern w:val="0"/>
                <w:sz w:val="20"/>
                <w:szCs w:val="20"/>
                <w:u w:val="none"/>
                <w:lang w:val="en-US" w:eastAsia="zh-CN" w:bidi="ar"/>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黑体" w:hAnsi="Calibri" w:eastAsia="黑体" w:cs="黑体"/>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仿宋_GB2312" w:hAnsi="宋体" w:eastAsia="仿宋_GB2312" w:cs="仿宋_GB2312"/>
                <w:i w:val="0"/>
                <w:color w:val="000000"/>
                <w:kern w:val="0"/>
                <w:sz w:val="20"/>
                <w:szCs w:val="20"/>
                <w:u w:val="none"/>
                <w:lang w:val="en-US" w:eastAsia="zh-CN" w:bidi="ar"/>
              </w:rPr>
              <w:t>昌黎县自然资源和规划局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黑体" w:hAnsi="Calibri" w:eastAsia="黑体" w:cs="黑体"/>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hint="default" w:ascii="仿宋_GB2312" w:hAnsi="宋体" w:eastAsia="仿宋_GB2312" w:cs="仿宋_GB2312"/>
                <w:i w:val="0"/>
                <w:color w:val="000000"/>
                <w:kern w:val="0"/>
                <w:sz w:val="20"/>
                <w:szCs w:val="20"/>
                <w:u w:val="none"/>
                <w:lang w:val="en-US" w:eastAsia="zh-CN" w:bidi="ar"/>
              </w:rPr>
            </w:pPr>
            <w:r>
              <w:rPr>
                <w:rFonts w:hint="default" w:ascii="仿宋_GB2312" w:hAnsi="宋体" w:eastAsia="仿宋_GB2312" w:cs="仿宋_GB2312"/>
                <w:i w:val="0"/>
                <w:color w:val="000000"/>
                <w:kern w:val="0"/>
                <w:sz w:val="20"/>
                <w:szCs w:val="20"/>
                <w:u w:val="none"/>
                <w:lang w:val="en-US" w:eastAsia="zh-CN" w:bidi="ar"/>
              </w:rPr>
              <w:t>对取得建设规划许可证从开工到竣工完结，未按《建设工程规划许可证》规定进行建设的违法行为的处罚（不包括昌黎工业园区的工业项目）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hint="eastAsia" w:ascii="黑体" w:hAnsi="Calibri" w:eastAsia="黑体" w:cs="黑体"/>
                <w:b/>
                <w:bCs/>
                <w:color w:val="000000"/>
                <w:kern w:val="0"/>
                <w:sz w:val="21"/>
                <w:szCs w:val="21"/>
              </w:rPr>
            </w:pPr>
            <w:r>
              <w:rPr>
                <w:rFonts w:hint="eastAsia" w:ascii="黑体" w:hAnsi="Calibri" w:eastAsia="黑体" w:cs="黑体"/>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ind w:firstLine="2600" w:firstLineChars="1300"/>
              <w:jc w:val="both"/>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昌黎县</w:t>
            </w:r>
            <w:r>
              <w:rPr>
                <w:rFonts w:hint="default" w:ascii="仿宋_GB2312" w:hAnsi="宋体" w:eastAsia="仿宋_GB2312" w:cs="仿宋_GB2312"/>
                <w:i w:val="0"/>
                <w:color w:val="000000"/>
                <w:kern w:val="0"/>
                <w:sz w:val="20"/>
                <w:szCs w:val="20"/>
                <w:u w:val="none"/>
                <w:lang w:val="en-US" w:eastAsia="zh-CN" w:bidi="ar"/>
              </w:rPr>
              <w:t>（不包括昌黎工业园区的工业项目）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97"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both"/>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【法律法规】</w:t>
            </w:r>
          </w:p>
          <w:p>
            <w:pPr>
              <w:keepNext w:val="0"/>
              <w:keepLines w:val="0"/>
              <w:widowControl/>
              <w:suppressLineNumbers w:val="0"/>
              <w:adjustRightInd/>
              <w:snapToGrid/>
              <w:spacing w:after="0" w:line="240" w:lineRule="auto"/>
              <w:jc w:val="both"/>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 xml:space="preserve">  《中华人民共和国城乡规划法》第六十四条未按照建设工程规划许可证的规定进行建设的行为，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第（三）项国土空间规划</w:t>
            </w:r>
            <w:r>
              <w:rPr>
                <w:rFonts w:hint="eastAsia" w:ascii="仿宋_GB2312" w:eastAsia="仿宋_GB2312" w:cs="黑体"/>
                <w:kern w:val="0"/>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5" w:hRule="atLeast"/>
          <w:jc w:val="center"/>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74" w:hRule="atLeas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lang w:eastAsia="zh-CN"/>
              </w:rPr>
            </w:pPr>
            <w:r>
              <w:rPr>
                <w:rFonts w:hint="eastAsia" w:ascii="仿宋_GB2312" w:hAnsi="黑体" w:eastAsia="仿宋_GB2312" w:cs="黑体"/>
                <w:color w:val="000000"/>
                <w:kern w:val="2"/>
                <w:sz w:val="18"/>
                <w:szCs w:val="18"/>
                <w:lang w:eastAsia="zh-CN"/>
              </w:rPr>
              <w:t>规划监察大队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9" w:hRule="atLeas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lang w:eastAsia="zh-CN"/>
              </w:rPr>
              <w:t>规划监察大队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lang w:eastAsia="zh-CN"/>
              </w:rPr>
              <w:t>规划监察大队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lang w:eastAsia="zh-CN"/>
              </w:rPr>
              <w:t>规划监察大队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9" w:hRule="atLeas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hint="eastAsia" w:ascii="仿宋_GB2312" w:hAnsi="黑体" w:eastAsia="仿宋_GB2312" w:cs="黑体"/>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hint="eastAsia" w:ascii="仿宋_GB2312" w:hAnsi="黑体" w:eastAsia="仿宋_GB2312" w:cs="黑体"/>
                <w:color w:val="000000"/>
                <w:kern w:val="2"/>
                <w:sz w:val="18"/>
                <w:szCs w:val="18"/>
              </w:rPr>
            </w:pPr>
            <w:r>
              <w:rPr>
                <w:rFonts w:hint="eastAsia" w:ascii="仿宋_GB2312" w:hAnsi="黑体" w:eastAsia="仿宋_GB2312" w:cs="黑体"/>
                <w:color w:val="000000"/>
                <w:kern w:val="2"/>
                <w:sz w:val="18"/>
                <w:szCs w:val="18"/>
                <w:lang w:eastAsia="zh-CN"/>
              </w:rPr>
              <w:t>规划监察大队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276" w:hRule="atLeast"/>
          <w:jc w:val="center"/>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1、没有法律和事实依据实施行政处罚的；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2、擅自改变行政处罚种类、幅度的；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3、违反法定程序进行行政处罚的；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4、违反委托处罚规定的；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5、对违法行为未依法制止的；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9、应当依法进行行政处罚而未依法处罚的；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hAnsi="仿宋" w:eastAsia="仿宋" w:cs="仿宋"/>
                <w:i w:val="0"/>
                <w:color w:val="000000"/>
                <w:kern w:val="2"/>
                <w:sz w:val="16"/>
                <w:szCs w:val="16"/>
                <w:u w:val="none"/>
                <w:lang w:val="en-US" w:eastAsia="zh-CN" w:bidi="ar-SA"/>
              </w:rPr>
            </w:pPr>
            <w:r>
              <w:rPr>
                <w:rFonts w:hint="eastAsia" w:ascii="仿宋" w:hAnsi="仿宋" w:eastAsia="仿宋" w:cs="仿宋"/>
                <w:i w:val="0"/>
                <w:color w:val="000000"/>
                <w:kern w:val="0"/>
                <w:sz w:val="16"/>
                <w:szCs w:val="16"/>
                <w:u w:val="none"/>
                <w:lang w:val="en-US" w:eastAsia="zh-CN" w:bidi="ar"/>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70"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w:t>
            </w:r>
            <w:r>
              <w:rPr>
                <w:rFonts w:hint="eastAsia" w:ascii="仿宋_GB2312" w:hAnsi="黑体" w:eastAsia="仿宋_GB2312" w:cs="黑体"/>
                <w:color w:val="000000"/>
                <w:kern w:val="0"/>
                <w:sz w:val="18"/>
                <w:szCs w:val="18"/>
                <w:lang w:val="en-US" w:eastAsia="zh-CN"/>
              </w:rPr>
              <w:t>2883266</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66"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昌黎县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77"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zhjZGM4NWU5YjQzMDRhODI2MDc4MjM4NWZhZjE0YjAifQ=="/>
  </w:docVars>
  <w:rsids>
    <w:rsidRoot w:val="00D31D50"/>
    <w:rsid w:val="00323B43"/>
    <w:rsid w:val="003D37D8"/>
    <w:rsid w:val="00426133"/>
    <w:rsid w:val="004358AB"/>
    <w:rsid w:val="008B7726"/>
    <w:rsid w:val="00D31D50"/>
    <w:rsid w:val="0E16344D"/>
    <w:rsid w:val="1B2F1236"/>
    <w:rsid w:val="2B0843BB"/>
    <w:rsid w:val="583223B6"/>
    <w:rsid w:val="58492A6A"/>
    <w:rsid w:val="738B2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973</Words>
  <Characters>1016</Characters>
  <Lines>1</Lines>
  <Paragraphs>1</Paragraphs>
  <TotalTime>0</TotalTime>
  <ScaleCrop>false</ScaleCrop>
  <LinksUpToDate>false</LinksUpToDate>
  <CharactersWithSpaces>1018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旭日东升</cp:lastModifiedBy>
  <dcterms:modified xsi:type="dcterms:W3CDTF">2024-07-12T08:00:37Z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BC289A9CA5F14DF58B27F4A751E58BE9_12</vt:lpwstr>
  </property>
</Properties>
</file>