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widowControl/>
        <w:jc w:val="center"/>
        <w:textAlignment w:val="center"/>
        <w:rPr>
          <w:rFonts w:ascii="方正小标宋简体" w:eastAsia="方正小标宋简体" w:cs="方正小标宋简体"/>
          <w:color w:val="000000"/>
          <w:kern w:val="0"/>
          <w:sz w:val="32"/>
          <w:szCs w:val="32"/>
        </w:rPr>
      </w:pPr>
      <w:r>
        <w:rPr>
          <w:rFonts w:ascii="方正小标宋简体" w:eastAsia="方正小标宋简体" w:cs="方正小标宋简体" w:hint="eastAsia"/>
          <w:color w:val="000000"/>
          <w:kern w:val="0"/>
          <w:sz w:val="32"/>
          <w:szCs w:val="32"/>
        </w:rPr>
        <w:t>履职行权规程</w:t>
      </w:r>
    </w:p>
    <w:tbl>
      <w:tblPr>
        <w:jc w:val="center"/>
        <w:tblW w:w="105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Pr>
      <w:tblGrid>
        <w:gridCol w:w="1571"/>
        <w:gridCol w:w="1050"/>
        <w:gridCol w:w="641"/>
        <w:gridCol w:w="1691"/>
        <w:gridCol w:w="1963"/>
        <w:gridCol w:w="851"/>
        <w:gridCol w:w="567"/>
        <w:gridCol w:w="850"/>
        <w:gridCol w:w="1337"/>
      </w:tblGrid>
      <w:tr>
        <w:trPr>
          <w:trHeight w:val="424"/>
        </w:trPr>
        <w:tc>
          <w:tcPr>
            <w:tcW w:w="1571"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编号</w:t>
            </w:r>
          </w:p>
        </w:tc>
        <w:tc>
          <w:tcPr>
            <w:tcW w:w="1691" w:type="dxa"/>
            <w:gridSpan w:val="2"/>
            <w:tcBorders>
              <w:tl2br w:val="nil"/>
              <w:tr2bl w:val="nil"/>
            </w:tcBorders>
            <w:shd w:val="clear" w:color="auto" w:fill="auto"/>
            <w:vAlign w:val="center"/>
          </w:tcPr>
          <w:p>
            <w:pPr>
              <w:jc w:val="center"/>
              <w:rPr>
                <w:rFonts w:ascii="黑体" w:eastAsia="黑体" w:cs="黑体" w:hint="eastAsia"/>
                <w:b/>
                <w:bCs/>
                <w:color w:val="000000"/>
                <w:szCs w:val="21"/>
                <w:lang w:val="en-US" w:eastAsia="zh-CN"/>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ascii="黑体" w:eastAsia="黑体" w:cs="黑体" w:hint="eastAsia"/>
                <w:b/>
                <w:bCs/>
                <w:color w:val="000000"/>
                <w:kern w:val="0"/>
                <w:szCs w:val="21"/>
              </w:rPr>
              <w:t>权力类型</w:t>
            </w:r>
          </w:p>
        </w:tc>
        <w:tc>
          <w:tcPr>
            <w:tcW w:w="1963" w:type="dxa"/>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行政处罚</w:t>
            </w:r>
          </w:p>
        </w:tc>
        <w:tc>
          <w:tcPr>
            <w:tcW w:w="1418"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实施主体</w:t>
            </w:r>
          </w:p>
        </w:tc>
        <w:tc>
          <w:tcPr>
            <w:tcW w:w="2187"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昌黎县自然资源和规划局</w:t>
            </w:r>
          </w:p>
        </w:tc>
      </w:tr>
      <w:tr>
        <w:trPr>
          <w:trHeight w:hRule="exact" w:val="272"/>
        </w:trPr>
        <w:tc>
          <w:tcPr>
            <w:tcW w:w="1571"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事项名称</w:t>
            </w:r>
          </w:p>
        </w:tc>
        <w:tc>
          <w:tcPr>
            <w:tcW w:w="8950" w:type="dxa"/>
            <w:gridSpan w:val="8"/>
            <w:tcBorders>
              <w:tl2br w:val="nil"/>
              <w:tr2bl w:val="nil"/>
            </w:tcBorders>
            <w:shd w:val="clear" w:color="auto" w:fill="auto"/>
            <w:vAlign w:val="center"/>
          </w:tcPr>
          <w:p>
            <w:pPr>
              <w:keepNext w:val="0"/>
              <w:keepLines w:val="0"/>
              <w:widowControl/>
              <w:suppressLineNumbers w:val="0"/>
              <w:jc w:val="center"/>
              <w:textAlignment w:val="center"/>
              <w:rPr>
                <w:rFonts w:ascii="仿宋_GB2312" w:eastAsia="仿宋_GB2312" w:cs="仿宋_GB2312" w:hAnsi="宋体"/>
                <w:i w:val="0"/>
                <w:color w:val="000000"/>
                <w:kern w:val="2"/>
                <w:sz w:val="20"/>
                <w:szCs w:val="20"/>
                <w:u w:val="none"/>
                <w:lang w:val="en-US" w:eastAsia="zh-CN" w:bidi="ar-SA"/>
              </w:rPr>
            </w:pPr>
            <w:r>
              <w:rPr>
                <w:rFonts w:ascii="仿宋_GB2312" w:eastAsia="仿宋_GB2312" w:cs="仿宋_GB2312" w:hAnsi="宋体"/>
                <w:i w:val="0"/>
                <w:color w:val="000000"/>
                <w:kern w:val="0"/>
                <w:sz w:val="20"/>
                <w:szCs w:val="20"/>
                <w:u w:val="none"/>
                <w:lang w:val="en-US" w:eastAsia="zh-CN"/>
              </w:rPr>
              <w:t>对拒不履行土地复垦义务的行政处罚</w:t>
            </w:r>
          </w:p>
        </w:tc>
      </w:tr>
      <w:tr>
        <w:trPr>
          <w:trHeight w:val="405"/>
        </w:trPr>
        <w:tc>
          <w:tcPr>
            <w:tcW w:w="1571"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管辖范围</w:t>
            </w:r>
          </w:p>
        </w:tc>
        <w:tc>
          <w:tcPr>
            <w:tcW w:w="8950" w:type="dxa"/>
            <w:gridSpan w:val="8"/>
            <w:tcBorders>
              <w:tl2br w:val="nil"/>
              <w:tr2bl w:val="nil"/>
            </w:tcBorders>
            <w:shd w:val="clear" w:color="auto" w:fill="auto"/>
            <w:vAlign w:val="center"/>
          </w:tcPr>
          <w:p>
            <w:pPr>
              <w:jc w:val="center"/>
              <w:rPr>
                <w:rFonts w:ascii="黑体" w:eastAsia="黑体" w:cs="黑体" w:hAnsi="黑体"/>
                <w:color w:val="000000"/>
                <w:kern w:val="0"/>
                <w:sz w:val="18"/>
                <w:szCs w:val="18"/>
              </w:rPr>
            </w:pPr>
            <w:r>
              <w:rPr>
                <w:rFonts w:ascii="仿宋_GB2312" w:eastAsia="仿宋_GB2312" w:cs="黑体" w:hint="eastAsia"/>
                <w:kern w:val="0"/>
                <w:sz w:val="18"/>
                <w:szCs w:val="18"/>
              </w:rPr>
              <w:t>市级以上重点项目、跨乡镇区违法用地案件、黄金海岸北区由自然资源和规划局负责；其他区域由各乡镇（南区）政府负责</w:t>
            </w:r>
          </w:p>
        </w:tc>
      </w:tr>
      <w:tr>
        <w:trPr>
          <w:trHeight w:val="1997"/>
        </w:trPr>
        <w:tc>
          <w:tcPr>
            <w:tcW w:w="1571"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履职依据</w:t>
            </w:r>
          </w:p>
        </w:tc>
        <w:tc>
          <w:tcPr>
            <w:tcW w:w="8950" w:type="dxa"/>
            <w:gridSpan w:val="8"/>
            <w:tcBorders>
              <w:tl2br w:val="nil"/>
              <w:tr2bl w:val="nil"/>
            </w:tcBorders>
            <w:shd w:val="clear" w:color="auto" w:fill="auto"/>
            <w:vAlign w:val="center"/>
          </w:tcPr>
          <w:p>
            <w:pPr>
              <w:widowControl w:val="0"/>
              <w:adjustRightInd/>
              <w:snapToGrid/>
              <w:spacing w:after="0" w:line="240" w:lineRule="exact"/>
              <w:jc w:val="both"/>
              <w:rPr>
                <w:rFonts w:ascii="黑体" w:eastAsia="黑体" w:cs="仿宋_GB2312" w:hAnsi="黑体" w:hint="eastAsia"/>
                <w:kern w:val="0"/>
                <w:sz w:val="18"/>
                <w:szCs w:val="18"/>
              </w:rPr>
            </w:pPr>
            <w:r>
              <w:rPr>
                <w:rFonts w:ascii="黑体" w:eastAsia="黑体" w:cs="仿宋_GB2312" w:hAnsi="黑体" w:hint="eastAsia"/>
                <w:kern w:val="0"/>
                <w:sz w:val="18"/>
                <w:szCs w:val="18"/>
              </w:rPr>
              <w:t>【法律法规】</w:t>
            </w:r>
          </w:p>
          <w:p>
            <w:pPr>
              <w:widowControl w:val="0"/>
              <w:adjustRightInd/>
              <w:snapToGrid/>
              <w:spacing w:after="0" w:line="240" w:lineRule="exact"/>
              <w:jc w:val="both"/>
              <w:rPr>
                <w:rFonts w:ascii="仿宋_GB2312" w:eastAsia="仿宋_GB2312" w:cs="黑体" w:hAnsi="Calibri" w:hint="eastAsia"/>
                <w:kern w:val="0"/>
                <w:sz w:val="18"/>
                <w:szCs w:val="18"/>
              </w:rPr>
            </w:pPr>
            <w:bookmarkStart w:id="0" w:name="_GoBack"/>
            <w:bookmarkEnd w:id="0"/>
            <w:r>
              <w:rPr>
                <w:rFonts w:ascii="仿宋_GB2312" w:eastAsia="仿宋_GB2312" w:cs="黑体" w:hAnsi="Calibri" w:hint="eastAsia"/>
                <w:kern w:val="0"/>
                <w:sz w:val="18"/>
                <w:szCs w:val="18"/>
              </w:rPr>
              <w:t>《中华人民共和国土地管理法》第七十五条，违反本法规定，占用耕地建窑、建坟或者擅自在耕地上建房、挖砂、采石、采矿、取土等，破坏种植条件的，或者因开发土地造成土地荒漠化、盐渍化的，由县级以上人民政府自然资源主管部门、农业农村主管部门等按照职责责令限期改正或者治理，可以并处罚款;构成犯罪的，依法追究刑事责任。</w:t>
            </w:r>
          </w:p>
          <w:p>
            <w:pPr>
              <w:widowControl w:val="0"/>
              <w:adjustRightInd/>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《中华人民共和国土地管理法实施条例》（1998年12月国务院令第256号，2021年7月国务院令第743号第三次修订）第五十六条：“依照《</w:t>
            </w:r>
            <w:r>
              <w:rPr>
                <w:rFonts w:ascii="仿宋_GB2312" w:eastAsia="仿宋_GB2312" w:cs="黑体" w:hAnsi="Calibri"/>
                <w:kern w:val="0"/>
                <w:sz w:val="18"/>
                <w:szCs w:val="18"/>
              </w:rPr>
              <w:t>中华人民共和国</w:t>
            </w:r>
            <w:r>
              <w:rPr>
                <w:rFonts w:ascii="仿宋_GB2312" w:eastAsia="仿宋_GB2312" w:cs="黑体" w:hAnsi="Calibri" w:hint="eastAsia"/>
                <w:kern w:val="0"/>
                <w:sz w:val="18"/>
                <w:szCs w:val="18"/>
              </w:rPr>
              <w:t>土地管理法》第七十六条的规定处以罚款的，罚款额为土地复垦费的2倍以上5倍以下。</w:t>
            </w:r>
          </w:p>
          <w:p>
            <w:pPr>
              <w:widowControl w:val="0"/>
              <w:adjustRightInd/>
              <w:snapToGrid/>
              <w:spacing w:after="0" w:line="240" w:lineRule="exact"/>
              <w:jc w:val="both"/>
              <w:rPr>
                <w:rFonts w:ascii="黑体" w:eastAsia="黑体" w:cs="仿宋_GB2312" w:hAnsi="黑体" w:hint="eastAsia"/>
                <w:kern w:val="0"/>
                <w:sz w:val="18"/>
                <w:szCs w:val="18"/>
              </w:rPr>
            </w:pPr>
            <w:r>
              <w:rPr>
                <w:rFonts w:ascii="黑体" w:eastAsia="黑体" w:cs="仿宋_GB2312" w:hAnsi="黑体" w:hint="eastAsia"/>
                <w:kern w:val="0"/>
                <w:sz w:val="18"/>
                <w:szCs w:val="18"/>
              </w:rPr>
              <w:t>【三定规定】</w:t>
            </w:r>
          </w:p>
          <w:p>
            <w:pPr>
              <w:widowControl w:val="0"/>
              <w:adjustRightInd/>
              <w:snapToGrid/>
              <w:spacing w:after="0" w:line="240" w:lineRule="exact"/>
              <w:jc w:val="both"/>
              <w:rPr>
                <w:rFonts w:ascii="仿宋_GB2312" w:eastAsia="仿宋_GB2312" w:cs="黑体"/>
                <w:b/>
                <w:bCs/>
                <w:color w:val="000000"/>
                <w:szCs w:val="21"/>
              </w:rPr>
            </w:pPr>
            <w:r>
              <w:rPr>
                <w:rFonts w:ascii="仿宋_GB2312" w:eastAsia="仿宋_GB2312" w:cs="黑体" w:hAnsi="Calibri" w:hint="eastAsia"/>
                <w:kern w:val="0"/>
                <w:sz w:val="18"/>
                <w:szCs w:val="18"/>
              </w:rPr>
              <w:t>昌办字〔2019〕39号第（三十三）条。</w:t>
            </w:r>
          </w:p>
        </w:tc>
      </w:tr>
      <w:tr>
        <w:trPr>
          <w:trHeight w:val="420"/>
        </w:trPr>
        <w:tc>
          <w:tcPr>
            <w:tcW w:w="1571"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履职流程</w:t>
            </w:r>
          </w:p>
        </w:tc>
        <w:tc>
          <w:tcPr>
            <w:tcW w:w="105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办理环节</w:t>
            </w:r>
          </w:p>
        </w:tc>
        <w:tc>
          <w:tcPr>
            <w:tcW w:w="5146" w:type="dxa"/>
            <w:gridSpan w:val="4"/>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办理内容</w:t>
            </w:r>
          </w:p>
        </w:tc>
        <w:tc>
          <w:tcPr>
            <w:tcW w:w="1417"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办理时限</w:t>
            </w:r>
          </w:p>
        </w:tc>
        <w:tc>
          <w:tcPr>
            <w:tcW w:w="1337"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责任科室</w:t>
            </w:r>
          </w:p>
        </w:tc>
      </w:tr>
      <w:tr>
        <w:trPr>
          <w:trHeight w:val="540"/>
        </w:trPr>
        <w:tc>
          <w:tcPr>
            <w:tcW w:w="1571"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立案</w:t>
            </w:r>
          </w:p>
        </w:tc>
        <w:tc>
          <w:tcPr>
            <w:tcW w:w="5146" w:type="dxa"/>
            <w:gridSpan w:val="4"/>
            <w:tcBorders>
              <w:tl2br w:val="nil"/>
              <w:tr2bl w:val="nil"/>
            </w:tcBorders>
            <w:shd w:val="clear" w:color="auto" w:fill="auto"/>
            <w:vAlign w:val="center"/>
          </w:tcPr>
          <w:p>
            <w:pPr>
              <w:rPr>
                <w:rFonts w:ascii="仿宋_GB2312" w:eastAsia="仿宋_GB2312" w:cs="黑体" w:hAnsi="黑体"/>
                <w:color w:val="000000"/>
                <w:sz w:val="18"/>
                <w:szCs w:val="18"/>
              </w:rPr>
            </w:pPr>
            <w:r>
              <w:rPr>
                <w:rFonts w:ascii="仿宋_GB2312" w:eastAsia="仿宋_GB2312" w:cs="黑体" w:hAnsi="黑体" w:hint="eastAsia"/>
                <w:color w:val="000000"/>
                <w:sz w:val="18"/>
                <w:szCs w:val="18"/>
              </w:rPr>
              <w:t>经初步了解案件后，依法立案或不予立案（不予立案应当告知理由）</w:t>
            </w:r>
          </w:p>
        </w:tc>
        <w:tc>
          <w:tcPr>
            <w:tcW w:w="1417" w:type="dxa"/>
            <w:gridSpan w:val="2"/>
            <w:tcBorders>
              <w:tl2br w:val="nil"/>
              <w:tr2bl w:val="nil"/>
            </w:tcBorders>
            <w:shd w:val="clear" w:color="auto" w:fill="auto"/>
            <w:vAlign w:val="center"/>
          </w:tcPr>
          <w:p>
            <w:pPr>
              <w:jc w:val="center"/>
              <w:rPr>
                <w:rFonts w:ascii="仿宋_GB2312" w:eastAsia="仿宋_GB2312" w:cs="黑体" w:hAnsi="黑体"/>
                <w:color w:val="000000"/>
                <w:sz w:val="18"/>
                <w:szCs w:val="18"/>
              </w:rPr>
            </w:pPr>
          </w:p>
        </w:tc>
        <w:tc>
          <w:tcPr>
            <w:tcW w:w="1337"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执法监察大队、黄金海岸分局</w:t>
            </w:r>
          </w:p>
        </w:tc>
      </w:tr>
      <w:tr>
        <w:trPr>
          <w:trHeight w:val="335"/>
        </w:trPr>
        <w:tc>
          <w:tcPr>
            <w:tcW w:w="1571"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调查取证</w:t>
            </w:r>
          </w:p>
        </w:tc>
        <w:tc>
          <w:tcPr>
            <w:tcW w:w="5146" w:type="dxa"/>
            <w:gridSpan w:val="4"/>
            <w:tcBorders>
              <w:tl2br w:val="nil"/>
              <w:tr2bl w:val="nil"/>
            </w:tcBorders>
            <w:shd w:val="clear" w:color="auto" w:fill="auto"/>
            <w:vAlign w:val="center"/>
          </w:tcPr>
          <w:p>
            <w:pPr>
              <w:rPr>
                <w:rFonts w:ascii="仿宋_GB2312" w:eastAsia="仿宋_GB2312" w:cs="黑体" w:hAnsi="黑体"/>
                <w:color w:val="000000"/>
                <w:sz w:val="18"/>
                <w:szCs w:val="18"/>
              </w:rPr>
            </w:pPr>
            <w:r>
              <w:rPr>
                <w:rFonts w:ascii="仿宋_GB2312" w:eastAsia="仿宋_GB2312" w:cs="黑体" w:hAnsi="黑体" w:hint="eastAsia"/>
                <w:color w:val="000000"/>
                <w:sz w:val="18"/>
                <w:szCs w:val="18"/>
              </w:rPr>
              <w:t>制作现场勘验笔录、调查询问笔录、搜集相关文件资料、现场拍照录像等</w:t>
            </w:r>
          </w:p>
        </w:tc>
        <w:tc>
          <w:tcPr>
            <w:tcW w:w="1417" w:type="dxa"/>
            <w:gridSpan w:val="2"/>
            <w:tcBorders>
              <w:tl2br w:val="nil"/>
              <w:tr2bl w:val="nil"/>
            </w:tcBorders>
            <w:shd w:val="clear" w:color="auto" w:fill="auto"/>
            <w:vAlign w:val="center"/>
          </w:tcPr>
          <w:p>
            <w:pPr>
              <w:jc w:val="center"/>
              <w:rPr>
                <w:rFonts w:ascii="仿宋_GB2312" w:eastAsia="仿宋_GB2312" w:cs="黑体" w:hAnsi="黑体"/>
                <w:color w:val="000000"/>
                <w:sz w:val="18"/>
                <w:szCs w:val="18"/>
              </w:rPr>
            </w:pPr>
          </w:p>
        </w:tc>
        <w:tc>
          <w:tcPr>
            <w:tcW w:w="1337" w:type="dxa"/>
            <w:tcBorders>
              <w:tl2br w:val="nil"/>
              <w:tr2bl w:val="nil"/>
            </w:tcBorders>
            <w:shd w:val="clear" w:color="auto" w:fill="auto"/>
          </w:tcPr>
          <w:p>
            <w:r>
              <w:rPr>
                <w:rFonts w:ascii="仿宋_GB2312" w:eastAsia="仿宋_GB2312" w:cs="黑体" w:hAnsi="黑体" w:hint="eastAsia"/>
                <w:color w:val="000000"/>
                <w:sz w:val="18"/>
                <w:szCs w:val="18"/>
              </w:rPr>
              <w:t>执法监察大队、黄金海岸分局</w:t>
            </w:r>
          </w:p>
        </w:tc>
      </w:tr>
      <w:tr>
        <w:trPr>
          <w:trHeight w:val="489"/>
        </w:trPr>
        <w:tc>
          <w:tcPr>
            <w:tcW w:w="1571"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审查</w:t>
            </w:r>
          </w:p>
        </w:tc>
        <w:tc>
          <w:tcPr>
            <w:tcW w:w="5146" w:type="dxa"/>
            <w:gridSpan w:val="4"/>
            <w:tcBorders>
              <w:tl2br w:val="nil"/>
              <w:tr2bl w:val="nil"/>
            </w:tcBorders>
            <w:shd w:val="clear" w:color="auto" w:fill="auto"/>
            <w:vAlign w:val="center"/>
          </w:tcPr>
          <w:p>
            <w:pPr>
              <w:rPr>
                <w:rFonts w:ascii="仿宋_GB2312" w:eastAsia="仿宋_GB2312" w:cs="黑体" w:hAnsi="黑体"/>
                <w:color w:val="000000"/>
                <w:sz w:val="18"/>
                <w:szCs w:val="18"/>
              </w:rPr>
            </w:pPr>
            <w:r>
              <w:rPr>
                <w:rFonts w:ascii="仿宋_GB2312" w:eastAsia="仿宋_GB2312" w:cs="黑体" w:hAnsi="黑体" w:hint="eastAsia"/>
                <w:color w:val="000000"/>
                <w:sz w:val="18"/>
                <w:szCs w:val="18"/>
              </w:rPr>
              <w:t>执法主体是否合法、事实是否清楚、证据是否合法充分、适用法律是否准确、执法程序是否合法等</w:t>
            </w:r>
          </w:p>
        </w:tc>
        <w:tc>
          <w:tcPr>
            <w:tcW w:w="1417" w:type="dxa"/>
            <w:gridSpan w:val="2"/>
            <w:tcBorders>
              <w:tl2br w:val="nil"/>
              <w:tr2bl w:val="nil"/>
            </w:tcBorders>
            <w:shd w:val="clear" w:color="auto" w:fill="auto"/>
            <w:vAlign w:val="center"/>
          </w:tcPr>
          <w:p>
            <w:pPr>
              <w:jc w:val="center"/>
              <w:rPr>
                <w:rFonts w:ascii="仿宋_GB2312" w:eastAsia="仿宋_GB2312" w:cs="黑体" w:hAnsi="黑体"/>
                <w:color w:val="000000"/>
                <w:sz w:val="18"/>
                <w:szCs w:val="18"/>
              </w:rPr>
            </w:pPr>
          </w:p>
        </w:tc>
        <w:tc>
          <w:tcPr>
            <w:tcW w:w="1337" w:type="dxa"/>
            <w:tcBorders>
              <w:tl2br w:val="nil"/>
              <w:tr2bl w:val="nil"/>
            </w:tcBorders>
            <w:shd w:val="clear" w:color="auto" w:fill="auto"/>
          </w:tcPr>
          <w:p>
            <w:r>
              <w:rPr>
                <w:rFonts w:ascii="仿宋_GB2312" w:eastAsia="仿宋_GB2312" w:cs="黑体" w:hAnsi="黑体" w:hint="eastAsia"/>
                <w:color w:val="000000"/>
                <w:sz w:val="18"/>
                <w:szCs w:val="18"/>
              </w:rPr>
              <w:t>执法监察大队、黄金海岸分局</w:t>
            </w:r>
          </w:p>
        </w:tc>
      </w:tr>
      <w:tr>
        <w:trPr>
          <w:trHeight w:val="489"/>
        </w:trPr>
        <w:tc>
          <w:tcPr>
            <w:tcW w:w="1571"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决定</w:t>
            </w:r>
          </w:p>
        </w:tc>
        <w:tc>
          <w:tcPr>
            <w:tcW w:w="5146" w:type="dxa"/>
            <w:gridSpan w:val="4"/>
            <w:tcBorders>
              <w:tl2br w:val="nil"/>
              <w:tr2bl w:val="nil"/>
            </w:tcBorders>
            <w:shd w:val="clear" w:color="auto" w:fill="auto"/>
            <w:vAlign w:val="center"/>
          </w:tcPr>
          <w:p>
            <w:pPr>
              <w:rPr>
                <w:rFonts w:ascii="仿宋_GB2312" w:eastAsia="仿宋_GB2312" w:cs="黑体" w:hAnsi="黑体"/>
                <w:color w:val="000000"/>
                <w:sz w:val="18"/>
                <w:szCs w:val="18"/>
              </w:rPr>
            </w:pPr>
            <w:r>
              <w:rPr>
                <w:rFonts w:ascii="仿宋_GB2312" w:eastAsia="仿宋_GB2312" w:cs="黑体" w:hAnsi="黑体" w:hint="eastAsia"/>
                <w:color w:val="000000"/>
                <w:sz w:val="18"/>
                <w:szCs w:val="18"/>
              </w:rPr>
              <w:t>制作事先告知书（听证告知书）、处罚决定书</w:t>
            </w:r>
          </w:p>
        </w:tc>
        <w:tc>
          <w:tcPr>
            <w:tcW w:w="1417" w:type="dxa"/>
            <w:gridSpan w:val="2"/>
            <w:tcBorders>
              <w:tl2br w:val="nil"/>
              <w:tr2bl w:val="nil"/>
            </w:tcBorders>
            <w:shd w:val="clear" w:color="auto" w:fill="auto"/>
            <w:vAlign w:val="center"/>
          </w:tcPr>
          <w:p>
            <w:pPr>
              <w:jc w:val="center"/>
              <w:rPr>
                <w:rFonts w:ascii="仿宋_GB2312" w:eastAsia="仿宋_GB2312" w:cs="黑体" w:hAnsi="黑体"/>
                <w:color w:val="000000"/>
                <w:sz w:val="18"/>
                <w:szCs w:val="18"/>
              </w:rPr>
            </w:pPr>
          </w:p>
        </w:tc>
        <w:tc>
          <w:tcPr>
            <w:tcW w:w="1337" w:type="dxa"/>
            <w:tcBorders>
              <w:tl2br w:val="nil"/>
              <w:tr2bl w:val="nil"/>
            </w:tcBorders>
            <w:shd w:val="clear" w:color="auto" w:fill="auto"/>
          </w:tcPr>
          <w:p>
            <w:r>
              <w:rPr>
                <w:rFonts w:ascii="仿宋_GB2312" w:eastAsia="仿宋_GB2312" w:cs="黑体" w:hAnsi="黑体" w:hint="eastAsia"/>
                <w:color w:val="000000"/>
                <w:sz w:val="18"/>
                <w:szCs w:val="18"/>
              </w:rPr>
              <w:t>执法监察大队、黄金海岸分局</w:t>
            </w:r>
          </w:p>
        </w:tc>
      </w:tr>
      <w:tr>
        <w:trPr>
          <w:trHeight w:val="549"/>
        </w:trPr>
        <w:tc>
          <w:tcPr>
            <w:tcW w:w="1571"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送达</w:t>
            </w:r>
          </w:p>
        </w:tc>
        <w:tc>
          <w:tcPr>
            <w:tcW w:w="5146" w:type="dxa"/>
            <w:gridSpan w:val="4"/>
            <w:tcBorders>
              <w:tl2br w:val="nil"/>
              <w:tr2bl w:val="nil"/>
            </w:tcBorders>
            <w:shd w:val="clear" w:color="auto" w:fill="auto"/>
            <w:vAlign w:val="center"/>
          </w:tcPr>
          <w:p>
            <w:pPr>
              <w:rPr>
                <w:rFonts w:ascii="仿宋_GB2312" w:eastAsia="仿宋_GB2312" w:cs="黑体" w:hAnsi="黑体"/>
                <w:color w:val="000000"/>
                <w:szCs w:val="21"/>
              </w:rPr>
            </w:pPr>
            <w:r>
              <w:rPr>
                <w:rFonts w:ascii="仿宋_GB2312" w:eastAsia="仿宋_GB2312" w:cs="黑体" w:hAnsi="黑体" w:hint="eastAsia"/>
                <w:color w:val="000000"/>
                <w:sz w:val="18"/>
                <w:szCs w:val="18"/>
              </w:rPr>
              <w:t>送达相关文书，告知行政复议和行政诉讼等救济权利</w:t>
            </w:r>
          </w:p>
        </w:tc>
        <w:tc>
          <w:tcPr>
            <w:tcW w:w="1417" w:type="dxa"/>
            <w:gridSpan w:val="2"/>
            <w:tcBorders>
              <w:tl2br w:val="nil"/>
              <w:tr2bl w:val="nil"/>
            </w:tcBorders>
            <w:shd w:val="clear" w:color="auto" w:fill="auto"/>
            <w:vAlign w:val="center"/>
          </w:tcPr>
          <w:p>
            <w:pPr>
              <w:jc w:val="center"/>
              <w:rPr>
                <w:rFonts w:ascii="仿宋_GB2312" w:eastAsia="仿宋_GB2312" w:cs="黑体" w:hAnsi="黑体"/>
                <w:color w:val="000000"/>
                <w:sz w:val="18"/>
                <w:szCs w:val="18"/>
              </w:rPr>
            </w:pPr>
          </w:p>
        </w:tc>
        <w:tc>
          <w:tcPr>
            <w:tcW w:w="1337" w:type="dxa"/>
            <w:tcBorders>
              <w:tl2br w:val="nil"/>
              <w:tr2bl w:val="nil"/>
            </w:tcBorders>
            <w:shd w:val="clear" w:color="auto" w:fill="auto"/>
          </w:tcPr>
          <w:p>
            <w:r>
              <w:rPr>
                <w:rFonts w:ascii="仿宋_GB2312" w:eastAsia="仿宋_GB2312" w:cs="黑体" w:hAnsi="黑体" w:hint="eastAsia"/>
                <w:color w:val="000000"/>
                <w:sz w:val="18"/>
                <w:szCs w:val="18"/>
              </w:rPr>
              <w:t>执法监察大队、黄金海岸分局</w:t>
            </w:r>
          </w:p>
        </w:tc>
      </w:tr>
      <w:tr>
        <w:trPr>
          <w:trHeight w:val="1170"/>
        </w:trPr>
        <w:tc>
          <w:tcPr>
            <w:tcW w:w="1571" w:type="dxa"/>
            <w:tcBorders>
              <w:tl2br w:val="nil"/>
              <w:tr2bl w:val="nil"/>
            </w:tcBorders>
            <w:shd w:val="clear" w:color="auto" w:fill="auto"/>
            <w:vAlign w:val="center"/>
          </w:tcPr>
          <w:p>
            <w:pPr>
              <w:widowControl w:val="0"/>
              <w:adjustRightInd/>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追责情形</w:t>
            </w:r>
          </w:p>
        </w:tc>
        <w:tc>
          <w:tcPr>
            <w:tcW w:w="8950" w:type="dxa"/>
            <w:gridSpan w:val="8"/>
            <w:tcBorders>
              <w:tl2br w:val="nil"/>
              <w:tr2bl w:val="nil"/>
            </w:tcBorders>
            <w:shd w:val="clear" w:color="auto" w:fill="auto"/>
            <w:vAlign w:val="center"/>
          </w:tcPr>
          <w:p>
            <w:pPr>
              <w:widowControl w:val="0"/>
              <w:adjustRightInd/>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因不履行或不正确履行行政职责，有下列情形的，行政机关及相关工作人员应承担相应责任：</w:t>
            </w:r>
          </w:p>
          <w:p>
            <w:pPr>
              <w:widowControl w:val="0"/>
              <w:adjustRightInd/>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1、没有法律和事实依据实施行政处罚的；</w:t>
            </w:r>
          </w:p>
          <w:p>
            <w:pPr>
              <w:widowControl w:val="0"/>
              <w:adjustRightInd/>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2、擅自改变行政处罚种类、幅度的；</w:t>
            </w:r>
          </w:p>
          <w:p>
            <w:pPr>
              <w:widowControl w:val="0"/>
              <w:adjustRightInd/>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3、违反法定程序进行行政处罚的；</w:t>
            </w:r>
          </w:p>
          <w:p>
            <w:pPr>
              <w:widowControl w:val="0"/>
              <w:adjustRightInd/>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4、违反委托处罚规定的；</w:t>
            </w:r>
          </w:p>
          <w:p>
            <w:pPr>
              <w:widowControl w:val="0"/>
              <w:adjustRightInd/>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5、对违法行为未依法制止的；</w:t>
            </w:r>
          </w:p>
          <w:p>
            <w:pPr>
              <w:widowControl w:val="0"/>
              <w:adjustRightInd/>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6、应当依法立案查处，无正当理由未依法立案查处的；</w:t>
            </w:r>
          </w:p>
          <w:p>
            <w:pPr>
              <w:widowControl w:val="0"/>
              <w:adjustRightInd/>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7、在制止以及查处违法案件中受阻，依照有关规定应当向本级人民政府或者上级国土资源主管部门报告而未报告的；</w:t>
            </w:r>
          </w:p>
          <w:p>
            <w:pPr>
              <w:widowControl w:val="0"/>
              <w:adjustRightInd/>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8、符合听证条件、行政管理相对人要求听证，应予组织听证而不组织听证的。</w:t>
            </w:r>
          </w:p>
          <w:p>
            <w:pPr>
              <w:widowControl w:val="0"/>
              <w:adjustRightInd/>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9、应当依法进行行政处罚而未依法处罚的；</w:t>
            </w:r>
          </w:p>
          <w:p>
            <w:pPr>
              <w:widowControl w:val="0"/>
              <w:adjustRightInd/>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10、应当依法移送追究刑事责任，而未依法移送有权机关的；</w:t>
            </w:r>
          </w:p>
          <w:p>
            <w:pPr>
              <w:widowControl w:val="0"/>
              <w:adjustRightInd/>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11、在行政处罚过程中发生腐败行为的；</w:t>
            </w:r>
          </w:p>
          <w:p>
            <w:pPr>
              <w:widowControl w:val="0"/>
              <w:adjustRightInd/>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12、其他违反法律法规规章文件规定的行为。</w:t>
            </w:r>
          </w:p>
        </w:tc>
      </w:tr>
      <w:tr>
        <w:trPr>
          <w:trHeight w:val="636"/>
        </w:trPr>
        <w:tc>
          <w:tcPr>
            <w:tcW w:w="1571"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监督方式</w:t>
            </w:r>
          </w:p>
        </w:tc>
        <w:tc>
          <w:tcPr>
            <w:tcW w:w="8950" w:type="dxa"/>
            <w:gridSpan w:val="8"/>
            <w:tcBorders>
              <w:tl2br w:val="nil"/>
              <w:tr2bl w:val="nil"/>
            </w:tcBorders>
            <w:shd w:val="clear" w:color="auto" w:fill="auto"/>
            <w:vAlign w:val="center"/>
          </w:tcPr>
          <w:p>
            <w:pPr>
              <w:widowControl/>
              <w:adjustRightInd/>
              <w:snapToGrid/>
              <w:spacing w:after="0" w:line="240" w:lineRule="exact"/>
              <w:jc w:val="left"/>
              <w:textAlignment w:val="center"/>
              <w:rPr>
                <w:rFonts w:ascii="仿宋_GB2312" w:eastAsia="仿宋_GB2312" w:cs="黑体" w:hAnsi="黑体" w:hint="eastAsia"/>
                <w:color w:val="000000"/>
                <w:kern w:val="0"/>
                <w:sz w:val="18"/>
                <w:szCs w:val="18"/>
              </w:rPr>
            </w:pPr>
            <w:r>
              <w:rPr>
                <w:rFonts w:ascii="仿宋_GB2312" w:eastAsia="仿宋_GB2312" w:cs="黑体" w:hAnsi="黑体" w:hint="eastAsia"/>
                <w:color w:val="000000"/>
                <w:kern w:val="0"/>
                <w:sz w:val="18"/>
                <w:szCs w:val="18"/>
              </w:rPr>
              <w:t>1.业务咨询：0335-2861320</w:t>
              <w:br/>
              <w:t>2.投诉举报电话：0335-2022626</w:t>
            </w:r>
          </w:p>
          <w:p>
            <w:pPr>
              <w:widowControl/>
              <w:adjustRightInd/>
              <w:snapToGrid/>
              <w:spacing w:after="0" w:line="240" w:lineRule="exact"/>
              <w:jc w:val="left"/>
              <w:textAlignment w:val="center"/>
              <w:rPr>
                <w:rFonts w:ascii="黑体" w:eastAsia="黑体" w:cs="黑体"/>
                <w:color w:val="000000"/>
                <w:sz w:val="24"/>
              </w:rPr>
            </w:pPr>
            <w:r>
              <w:rPr>
                <w:rFonts w:ascii="仿宋_GB2312" w:eastAsia="仿宋_GB2312" w:cs="黑体" w:hAnsi="黑体" w:hint="eastAsia"/>
                <w:color w:val="000000"/>
                <w:kern w:val="0"/>
                <w:sz w:val="18"/>
                <w:szCs w:val="18"/>
              </w:rPr>
              <w:t>3.纪检监察投诉：县纪委第四派驻纪检监察组，电话：0335-2608801</w:t>
            </w:r>
          </w:p>
        </w:tc>
      </w:tr>
      <w:tr>
        <w:trPr>
          <w:trHeight w:val="786"/>
        </w:trPr>
        <w:tc>
          <w:tcPr>
            <w:tcW w:w="1571"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法定救济途径</w:t>
            </w:r>
          </w:p>
        </w:tc>
        <w:tc>
          <w:tcPr>
            <w:tcW w:w="8950" w:type="dxa"/>
            <w:gridSpan w:val="8"/>
            <w:tcBorders>
              <w:tl2br w:val="nil"/>
              <w:tr2bl w:val="nil"/>
            </w:tcBorders>
            <w:shd w:val="clear" w:color="auto" w:fill="auto"/>
            <w:vAlign w:val="center"/>
          </w:tcPr>
          <w:p>
            <w:pPr>
              <w:widowControl/>
              <w:jc w:val="left"/>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1．不服许可决定自知道该具体行政行为之日起六十日内向</w:t>
            </w:r>
            <w:r>
              <w:rPr>
                <w:rFonts w:ascii="仿宋_GB2312" w:eastAsia="仿宋_GB2312" w:cs="仿宋_GB2312" w:hint="eastAsia"/>
                <w:color w:val="000000"/>
                <w:kern w:val="0"/>
                <w:sz w:val="18"/>
                <w:szCs w:val="18"/>
                <w:lang w:eastAsia="zh-CN"/>
              </w:rPr>
              <w:t>县</w:t>
            </w:r>
            <w:r>
              <w:rPr>
                <w:rFonts w:ascii="仿宋_GB2312" w:eastAsia="仿宋_GB2312" w:cs="仿宋_GB2312" w:hint="eastAsia"/>
                <w:color w:val="000000"/>
                <w:kern w:val="0"/>
                <w:sz w:val="18"/>
                <w:szCs w:val="18"/>
              </w:rPr>
              <w:t>政府申请行政复议。</w:t>
            </w:r>
          </w:p>
          <w:p>
            <w:pPr>
              <w:widowControl/>
              <w:jc w:val="left"/>
              <w:textAlignment w:val="center"/>
              <w:rPr>
                <w:rFonts w:ascii="黑体" w:eastAsia="黑体" w:cs="黑体"/>
                <w:b/>
                <w:bCs/>
                <w:color w:val="000000"/>
                <w:szCs w:val="21"/>
              </w:rPr>
            </w:pPr>
            <w:r>
              <w:rPr>
                <w:rFonts w:ascii="仿宋_GB2312" w:eastAsia="仿宋_GB2312" w:cs="仿宋_GB2312" w:hint="eastAsia"/>
                <w:color w:val="000000"/>
                <w:kern w:val="0"/>
                <w:sz w:val="18"/>
                <w:szCs w:val="18"/>
              </w:rPr>
              <w:t>2．不服许可决定应当自知道或者应当知道作出行政行为之日起六个月内提出向</w:t>
            </w:r>
            <w:r>
              <w:rPr>
                <w:rFonts w:ascii="仿宋_GB2312" w:eastAsia="仿宋_GB2312" w:cs="仿宋_GB2312" w:hint="eastAsia"/>
                <w:color w:val="000000"/>
                <w:kern w:val="0"/>
                <w:sz w:val="18"/>
                <w:szCs w:val="18"/>
                <w:lang w:eastAsia="zh-CN"/>
              </w:rPr>
              <w:t>昌黎县</w:t>
            </w:r>
            <w:r>
              <w:rPr>
                <w:rFonts w:ascii="仿宋_GB2312" w:eastAsia="仿宋_GB2312" w:cs="仿宋_GB2312" w:hint="eastAsia"/>
                <w:color w:val="000000"/>
                <w:kern w:val="0"/>
                <w:sz w:val="18"/>
                <w:szCs w:val="18"/>
              </w:rPr>
              <w:t>人民法院提起行政诉讼。</w:t>
            </w:r>
          </w:p>
        </w:tc>
      </w:tr>
      <w:tr>
        <w:trPr>
          <w:trHeight w:val="228"/>
        </w:trPr>
        <w:tc>
          <w:tcPr>
            <w:tcW w:w="1571"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备注</w:t>
            </w:r>
          </w:p>
        </w:tc>
        <w:tc>
          <w:tcPr>
            <w:tcW w:w="8950" w:type="dxa"/>
            <w:gridSpan w:val="8"/>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pPr>
        <w:spacing w:line="220" w:lineRule="atLeast"/>
      </w:pPr>
    </w:p>
    <w:sectPr>
      <w:pgSz w:w="11906" w:h="16838"/>
      <w:pgMar w:top="720" w:right="720" w:bottom="720" w:left="720" w:header="708" w:footer="708" w:gutter="0"/>
      <w:cols w:num="1" w:space="708"/>
      <w:docGrid w:linePitch="360" w:charSpace="0"/>
    </w:sectPr>
  </w:body>
</w:document>
</file>

<file path=word/fontTable.xml><?xml version="1.0" encoding="utf-8"?>
<w:fonts xmlns:w="http://schemas.openxmlformats.org/wordprocessingml/2006/main" xmlns:r="http://schemas.openxmlformats.org/officeDocument/2006/relationships">
  <w:font w:name="方正小标宋简体">
    <w:altName w:val="方正小标宋_GBK"/>
    <w:panose1 w:val="03000509000000000000"/>
    <w:charset w:val="86"/>
    <w:family w:val="script"/>
    <w:pitch w:val="variable"/>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仿宋_GB2312">
    <w:altName w:val="仿宋"/>
    <w:panose1 w:val="02010609030101010101"/>
    <w:charset w:val="86"/>
    <w:family w:val="modern"/>
    <w:pitch w:val="variable"/>
    <w:sig w:usb0="00000001" w:usb1="080E0000" w:usb2="00000000" w:usb3="00000000" w:csb0="00040000" w:csb1="00000000"/>
  </w:font>
  <w:font w:name="宋体">
    <w:panose1 w:val="02010600030101010101"/>
    <w:charset w:val="86"/>
    <w:family w:val="auto"/>
    <w:pitch w:val="variable"/>
    <w:sig w:usb0="00000003" w:usb1="080E0000" w:usb2="00000000" w:usb3="00000000" w:csb0="00040001" w:csb1="00000000"/>
  </w:font>
  <w:font w:name="Calibri">
    <w:panose1 w:val="020F0502020204030204"/>
    <w:charset w:val="00"/>
    <w:family w:val="swiss"/>
    <w:pitch w:val="variable"/>
    <w:sig w:usb0="E00002FF" w:usb1="4000ACFF" w:usb2="00000001" w:usb3="00000000" w:csb0="2000019F" w:csb1="00000000"/>
  </w:font>
  <w:font w:name="Times New Roman">
    <w:panose1 w:val="02020603050405020304"/>
    <w:charset w:val="00"/>
    <w:family w:val="auto"/>
    <w:pitch w:val="variable"/>
    <w:sig w:usb0="00000A87" w:usb1="00000000" w:usb2="00000000" w:usb3="00000000" w:csb0="400001BF" w:csb1="DFF70000"/>
  </w:font>
  <w:font w:name="Arial">
    <w:panose1 w:val="020B0604020202020204"/>
    <w:charset w:val="01"/>
    <w:family w:val="swiss"/>
    <w:pitch w:val="variable"/>
    <w:sig w:usb0="E0002AFF" w:usb1="C0007843" w:usb2="00000009" w:usb3="00000000" w:csb0="400001FF" w:csb1="FFFF0000"/>
  </w:font>
  <w:font w:name="Tahoma">
    <w:panose1 w:val="020B0604030504040204"/>
    <w:charset w:val="00"/>
    <w:family w:val="swiss"/>
    <w:pitch w:val="variable"/>
    <w:sig w:usb0="E1002EFF" w:usb1="C000605B" w:usb2="00000029" w:usb3="00000000" w:csb0="200101FF" w:csb1="20280000"/>
  </w:font>
  <w:font w:name="微软雅黑">
    <w:panose1 w:val="020B0503020204020204"/>
    <w:charset w:val="86"/>
    <w:family w:val="swiss"/>
    <w:pitch w:val="variable"/>
    <w:sig w:usb0="80000287" w:usb1="280F3C52" w:usb2="00000016" w:usb3="00000000" w:csb0="0004001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720"/>
  <w:drawingGridHorizontalSpacing w:val="110"/>
  <w:drawingGridVerticalSpacing w:val="156"/>
  <w:displayHorizontalDrawingGridEvery w:val="0"/>
  <w:displayVerticalDrawingGridEvery w:val="1"/>
  <w:compat>
    <w:compatSetting w:name="compatibilityMode" w:uri="http://schemas.microsoft.com/office/word" w:val="12"/>
  </w:compat>
  <w:docVars>
    <w:docVar w:name="commondata" w:val="eyJoZGlkIjoiMzhjZGM4NWU5YjQzMDRhODI2MDc4MjM4NWZhZjE0YjA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pPr>
      <w:adjustRightInd w:val="0"/>
      <w:snapToGrid w:val="0"/>
      <w:spacing w:after="200" w:line="240" w:lineRule="auto"/>
    </w:pPr>
    <w:rPr>
      <w:rFonts w:ascii="Tahoma" w:eastAsia="微软雅黑" w:cs="Arial" w:hAnsi="Tahoma"/>
      <w:sz w:val="22"/>
      <w:szCs w:val="22"/>
      <w:lang w:val="en-US" w:eastAsia="zh-CN" w:bidi="ar-SA"/>
    </w:rPr>
  </w:style>
  <w:style w:type="paragraph" w:styleId="1">
    <w:name w:val="heading 1"/>
    <w:basedOn w:val="0"/>
    <w:next w:val="0"/>
    <w:pPr>
      <w:keepNext/>
      <w:keepLines/>
      <w:spacing w:before="340" w:after="330" w:line="578" w:lineRule="auto"/>
      <w:outlineLvl w:val="0"/>
    </w:pPr>
    <w:rPr>
      <w:b/>
      <w:bCs/>
      <w:kern w:val="44"/>
      <w:sz w:val="44"/>
      <w:szCs w:val="44"/>
    </w:rPr>
  </w:style>
  <w:style w:type="paragraph" w:styleId="2">
    <w:name w:val="heading 2"/>
    <w:basedOn w:val="0"/>
    <w:next w:val="0"/>
    <w:pPr>
      <w:keepNext/>
      <w:keepLines/>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spacing w:before="260" w:after="260" w:line="415" w:lineRule="auto"/>
      <w:outlineLvl w:val="2"/>
    </w:pPr>
    <w:rPr>
      <w:b/>
      <w:bCs/>
      <w:sz w:val="32"/>
      <w:szCs w:val="32"/>
    </w:rPr>
  </w:style>
  <w:style w:type="character" w:default="1" w:styleId="10">
    <w:name w:val="Default Paragraph Font"/>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DF98299E-D78B-4243-A24F-E69AEE6EA7D1}">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2</TotalTime>
  <Application>Yozo_Office27021597764231179</Application>
  <Pages>1</Pages>
  <Words>0</Words>
  <Characters>925</Characters>
  <Lines>0</Lines>
  <Paragraphs>3</Paragraphs>
  <CharactersWithSpaces>1234</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hp</cp:lastModifiedBy>
  <cp:revision>0</cp:revision>
  <dcterms:created xsi:type="dcterms:W3CDTF">2008-09-11T17:20:00Z</dcterms:created>
  <dcterms:modified xsi:type="dcterms:W3CDTF">2024-09-27T07:26:29Z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2F629ED214CA4145AC797EAA88A0125B_12</vt:lpwstr>
  </property>
</Properties>
</file>