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对违法占用海域行为的处罚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val="en-US" w:eastAsia="zh-CN"/>
              </w:rPr>
            </w:pPr>
            <w:r>
              <w:rPr>
                <w:rFonts w:hint="eastAsia" w:ascii="黑体" w:hAnsi="黑体" w:eastAsia="黑体" w:cs="黑体"/>
                <w:color w:val="000000"/>
                <w:kern w:val="0"/>
                <w:sz w:val="18"/>
                <w:szCs w:val="18"/>
                <w:lang w:val="en-US"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rPr>
            </w:pPr>
            <w:r>
              <w:rPr>
                <w:rFonts w:hint="eastAsia" w:ascii="仿宋_GB2312" w:eastAsia="仿宋_GB2312" w:cs="黑体"/>
                <w:kern w:val="0"/>
                <w:sz w:val="18"/>
                <w:szCs w:val="18"/>
              </w:rPr>
              <w:t>《中华人民共和国海域使用管理法》第四十二条未经批准或者骗取批准，非法占用海域的，责令退还非法占用海域，恢复海域原状，没收违法所得，并处非法占用海域期间内该海域面积应缴纳的海域使用金五倍以上十五倍以下罚款；对未经批准或骗取批准，进行围海、填海活动的，处非法占用海域期间内该海域面积应缴纳的海域使用金十倍以上二十倍以下罚款。</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hint="default" w:ascii="仿宋_GB2312" w:eastAsia="仿宋_GB2312" w:cs="黑体"/>
                <w:b/>
                <w:bCs/>
                <w:color w:val="000000"/>
                <w:szCs w:val="21"/>
                <w:lang w:val="en-US" w:eastAsia="zh-CN"/>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制作现场勘验笔录、调查询问笔录、搜集相关文件资料、现场拍照录像等</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5FBC17B7"/>
    <w:rsid w:val="07102E0C"/>
    <w:rsid w:val="15BA4742"/>
    <w:rsid w:val="465E03D3"/>
    <w:rsid w:val="5FBC17B7"/>
    <w:rsid w:val="679121A1"/>
    <w:rsid w:val="7577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997</Words>
  <Characters>1040</Characters>
  <Lines>0</Lines>
  <Paragraphs>0</Paragraphs>
  <TotalTime>2</TotalTime>
  <ScaleCrop>false</ScaleCrop>
  <LinksUpToDate>false</LinksUpToDate>
  <CharactersWithSpaces>1040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2023-09-08T02:22:00Z</dcterms:created>
  <dc:creator>Administrator</dc:creator>
  <cp:lastModifiedBy>旭日东升</cp:lastModifiedBy>
  <dcterms:modified xsi:type="dcterms:W3CDTF">2024-07-12T08:00:21Z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029433EA4C78481FB55A6799790BF14B_12</vt:lpwstr>
  </property>
</Properties>
</file>