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2"/>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对擅自改变海域用途的行为的处罚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hint="eastAsia" w:ascii="黑体" w:hAnsi="黑体" w:eastAsia="黑体" w:cs="黑体"/>
                <w:color w:val="000000"/>
                <w:kern w:val="0"/>
                <w:sz w:val="18"/>
                <w:szCs w:val="18"/>
                <w:lang w:val="en-US" w:eastAsia="zh-CN"/>
              </w:rPr>
            </w:pPr>
            <w:r>
              <w:rPr>
                <w:rFonts w:hint="eastAsia" w:ascii="黑体" w:hAnsi="黑体" w:eastAsia="黑体" w:cs="黑体"/>
                <w:color w:val="000000"/>
                <w:kern w:val="0"/>
                <w:sz w:val="18"/>
                <w:szCs w:val="18"/>
                <w:lang w:val="en-US"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8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黑体"/>
                <w:kern w:val="0"/>
                <w:sz w:val="18"/>
                <w:szCs w:val="18"/>
              </w:rPr>
            </w:pPr>
            <w:r>
              <w:rPr>
                <w:rFonts w:hint="eastAsia" w:ascii="仿宋_GB2312" w:eastAsia="仿宋_GB2312" w:cs="黑体"/>
                <w:kern w:val="0"/>
                <w:sz w:val="18"/>
                <w:szCs w:val="18"/>
              </w:rPr>
              <w:t>《中华人民共和国海域使用管理法》第四十六条 擅自改变海域用途的，责令限期改正，没收违法所得，并处非法改变海域用途的期间内该海域面积应缴纳的海域使用金五倍以上十五倍以下的罚款。</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指定专人负责，及时组织调查取证，与当事人有直接利害关系的应当回避。执法人员不得少于两人，调查时应出示执法证件，允许当事人辩解陈述。执法人员应保守有关秘密。</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spacing w:line="240" w:lineRule="exact"/>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62673B6D"/>
    <w:rsid w:val="01914776"/>
    <w:rsid w:val="0469334B"/>
    <w:rsid w:val="1EB4248C"/>
    <w:rsid w:val="4554020F"/>
    <w:rsid w:val="5DFE13A6"/>
    <w:rsid w:val="62673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971</Words>
  <Characters>1014</Characters>
  <Lines>0</Lines>
  <Paragraphs>0</Paragraphs>
  <TotalTime>0</TotalTime>
  <ScaleCrop>false</ScaleCrop>
  <LinksUpToDate>false</LinksUpToDate>
  <CharactersWithSpaces>1015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2023-09-08T03:13:00Z</dcterms:created>
  <dc:creator>Administrator</dc:creator>
  <cp:lastModifiedBy>旭日东升</cp:lastModifiedBy>
  <dcterms:modified xsi:type="dcterms:W3CDTF">2024-07-12T08:00:01Z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5F2F230B40934FBAACC172A52E19E062_12</vt:lpwstr>
  </property>
</Properties>
</file>