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对海域使用权终止，原海域使用权人不按规定拆除用海设施和构筑物的行为的处罚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《中华人民共和国海域使用管理法》第四十七条 海域使用权终止，原海域使用权人不按规定拆除用海设施和构筑物的，责令限期拆除；逾期拒不拆除的，处五万元以下的罚款，并由县级以上人民政府海洋行政主管部门委托有关单位代为拆除，所需费用由原海域使用权人承担。</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6F165002"/>
    <w:rsid w:val="085849CC"/>
    <w:rsid w:val="34DA146D"/>
    <w:rsid w:val="4AB715FA"/>
    <w:rsid w:val="583B237B"/>
    <w:rsid w:val="6F16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1027</Words>
  <Characters>1070</Characters>
  <Lines>0</Lines>
  <Paragraphs>0</Paragraphs>
  <TotalTime>0</TotalTime>
  <ScaleCrop>false</ScaleCrop>
  <LinksUpToDate>false</LinksUpToDate>
  <CharactersWithSpaces>1071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2023-09-08T03:17:00Z</dcterms:created>
  <dc:creator>Administrator</dc:creator>
  <cp:lastModifiedBy>旭日东升</cp:lastModifiedBy>
  <dcterms:modified xsi:type="dcterms:W3CDTF">2024-07-12T07:59:51Z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84956ECADB0348178ECCA195C01F2B02_12</vt:lpwstr>
  </property>
</Properties>
</file>