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对在无居民海岛采石、挖海砂、采伐林木或者采集生物、非生物样本的处罚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黑体" w:hAnsi="黑体" w:eastAsia="黑体" w:cs="黑体"/>
                <w:color w:val="000000"/>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lang w:eastAsia="zh-CN"/>
              </w:rPr>
            </w:pPr>
            <w:r>
              <w:rPr>
                <w:rFonts w:hint="eastAsia" w:ascii="仿宋_GB2312" w:eastAsia="仿宋_GB2312" w:cs="黑体"/>
                <w:kern w:val="0"/>
                <w:sz w:val="18"/>
                <w:szCs w:val="18"/>
              </w:rPr>
              <w:t>《中华人民共和国海岛保护法》第四十七条 在无居民海岛采石、挖海砂、采伐林木或者采集生物、非生物样本的，没收违法所得，可以并处2万元以下的罚款</w:t>
            </w:r>
            <w:r>
              <w:rPr>
                <w:rFonts w:hint="eastAsia" w:ascii="仿宋_GB2312" w:eastAsia="仿宋_GB2312" w:cs="黑体"/>
                <w:kern w:val="0"/>
                <w:sz w:val="18"/>
                <w:szCs w:val="18"/>
                <w:lang w:eastAsia="zh-CN"/>
              </w:rPr>
              <w:t>。</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4FBB7DCC"/>
    <w:rsid w:val="4B027AE0"/>
    <w:rsid w:val="4FBB7DCC"/>
    <w:rsid w:val="52E611B7"/>
    <w:rsid w:val="69661532"/>
    <w:rsid w:val="6A6D5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973</Words>
  <Characters>1016</Characters>
  <Lines>0</Lines>
  <Paragraphs>0</Paragraphs>
  <TotalTime>0</TotalTime>
  <ScaleCrop>false</ScaleCrop>
  <LinksUpToDate>false</LinksUpToDate>
  <CharactersWithSpaces>1017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2023-09-08T03:25:00Z</dcterms:created>
  <dc:creator>Administrator</dc:creator>
  <cp:lastModifiedBy>旭日东升</cp:lastModifiedBy>
  <dcterms:modified xsi:type="dcterms:W3CDTF">2024-07-12T07:59:29Z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C92287F8DB624D12B3AEA83AB0F9A35E_12</vt:lpwstr>
  </property>
</Properties>
</file>