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571"/>
        <w:gridCol w:w="991"/>
        <w:gridCol w:w="700"/>
        <w:gridCol w:w="1691"/>
        <w:gridCol w:w="1963"/>
        <w:gridCol w:w="1203"/>
        <w:gridCol w:w="215"/>
        <w:gridCol w:w="850"/>
        <w:gridCol w:w="1471"/>
      </w:tblGrid>
      <w:tr>
        <w:trPr>
          <w:trHeight w:val="319"/>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hRule="exact" w:val="317"/>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黑体" w:hAnsi="黑体"/>
                <w:color w:val="000000"/>
                <w:kern w:val="0"/>
                <w:sz w:val="18"/>
                <w:szCs w:val="18"/>
                <w:lang w:val="en-US" w:eastAsia="zh-CN"/>
              </w:rPr>
            </w:pPr>
            <w:r>
              <w:rPr>
                <w:rFonts w:ascii="仿宋_GB2312" w:eastAsia="仿宋_GB2312" w:cs="黑体" w:hAnsi="黑体"/>
                <w:color w:val="000000"/>
                <w:kern w:val="0"/>
                <w:sz w:val="18"/>
                <w:szCs w:val="18"/>
                <w:lang w:val="en-US" w:eastAsia="zh-CN"/>
              </w:rPr>
              <w:t>对未经批准或者采取欺骗手段骗取批准，非法占用土地的行政处罚</w:t>
            </w:r>
          </w:p>
        </w:tc>
      </w:tr>
      <w:tr>
        <w:trPr>
          <w:trHeight w:hRule="exact" w:val="459"/>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黑体" w:hAnsi="黑体"/>
                <w:color w:val="000000"/>
                <w:kern w:val="0"/>
                <w:sz w:val="18"/>
                <w:szCs w:val="18"/>
                <w:lang w:val="en-US" w:eastAsia="zh-CN"/>
              </w:rPr>
            </w:pPr>
            <w:r>
              <w:rPr>
                <w:rFonts w:ascii="仿宋_GB2312" w:eastAsia="仿宋_GB2312" w:cs="黑体" w:hAnsi="黑体" w:hint="eastAsia"/>
                <w:color w:val="000000"/>
                <w:kern w:val="0"/>
                <w:sz w:val="18"/>
                <w:szCs w:val="18"/>
                <w:lang w:val="en-US" w:eastAsia="zh-CN"/>
              </w:rPr>
              <w:t>市级以上重点项目、跨乡镇区违法用地案件、黄金海岸北区由自然资源和规划局负责；其他区域由各乡镇（南区）政府负责</w:t>
            </w:r>
          </w:p>
        </w:tc>
      </w:tr>
      <w:tr>
        <w:trPr>
          <w:trHeight w:val="1997"/>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084"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第七十七条第一款，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超过批准的数量占用土地，多占的土地以非法占用土地论处。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《中华人民共和国土地管理法实施条例》（1998年12月国务院令第256号，2021年7月国务院令第743号第三次修订）第五十七条：“依照《</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土地管理法》第七十七条的规定处以罚款的，罚款额为非法占用土地每平方米100元以上1000元以下。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225"/>
        </w:trPr>
        <w:tc>
          <w:tcPr>
            <w:tcW w:w="1571"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99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hRule="exact" w:val="766"/>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vAlign w:val="center"/>
          </w:tcPr>
          <w:p>
            <w:pPr>
              <w:jc w:val="cente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黄金海岸分局</w:t>
            </w:r>
          </w:p>
        </w:tc>
      </w:tr>
      <w:tr>
        <w:trPr>
          <w:trHeight w:val="45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54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hRule="exact" w:val="3351"/>
        </w:trPr>
        <w:tc>
          <w:tcPr>
            <w:tcW w:w="1571"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084" w:type="dxa"/>
            <w:gridSpan w:val="8"/>
            <w:tcBorders>
              <w:tl2br w:val="nil"/>
              <w:tr2bl w:val="nil"/>
            </w:tcBorders>
            <w:shd w:val="clear" w:color="auto" w:fill="auto"/>
            <w:vAlign w:val="center"/>
          </w:tcPr>
          <w:p>
            <w:pPr>
              <w:keepNext w:val="0"/>
              <w:keepLines w:val="0"/>
              <w:widowControl/>
              <w:suppressLineNumbers w:val="0"/>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8"/>
                <w:szCs w:val="18"/>
                <w:u w:val="none"/>
                <w:lang w:val="en-US" w:eastAsia="zh-CN"/>
              </w:rPr>
              <w:t>因不履行或不正确履行行政职责，有下列情形的，行政机关及相关工作人员应承担相应责任：</w:t>
              <w:br/>
              <w:t>1、没有法律和事实依据实施行政处罚的；</w:t>
              <w:br/>
              <w:t>2、擅自改变行政处罚种类、幅度的；</w:t>
              <w:br/>
              <w:t>3、违反法定程序进行行政处罚的；</w:t>
              <w:br/>
              <w:t>4、违反委托处罚规定的；</w:t>
              <w:br/>
              <w:t>5、对违法行为未依法制止的；</w:t>
              <w:br/>
              <w:t>6、应当依法立案查处，无正当理由未依法立案查处的；</w:t>
              <w:br/>
              <w:t>7、在制止以及查处违法案件中受阻，依照有关规定应当向本级人民政府或者上级国土资源主管部门报告而未报告的；</w:t>
              <w:br/>
              <w:t>8、符合听证条件、行政管理相对人要求听证，应予组织听证而不组织听证的。</w:t>
              <w:br/>
              <w:t>9、应当依法进行行政处罚而未依法处罚的；</w:t>
              <w:br/>
              <w:t>10、应当依法移送追究刑事责任，而未依法移送有权机关的；</w:t>
              <w:br/>
              <w:t>11、在行政处罚过程中发生腐败行为的；</w:t>
              <w:br/>
              <w:t>12、其他违反法律法规规章文件规定的行为。</w:t>
            </w:r>
          </w:p>
        </w:tc>
      </w:tr>
      <w:tr>
        <w:trPr>
          <w:trHeight w:val="636"/>
        </w:trPr>
        <w:tc>
          <w:tcPr>
            <w:tcW w:w="1571" w:type="dxa"/>
            <w:tcBorders>
              <w:tl2br w:val="nil"/>
              <w:tr2bl w:val="nil"/>
            </w:tcBorders>
            <w:shd w:val="clear" w:color="auto" w:fill="auto"/>
            <w:vAlign w:val="center"/>
          </w:tcPr>
          <w:p>
            <w:pPr>
              <w:widowControl/>
              <w:adjustRightInd/>
              <w:snapToGrid/>
              <w:spacing w:after="0" w:line="240" w:lineRule="exact"/>
              <w:jc w:val="center"/>
              <w:textAlignment w:val="center"/>
              <w:rPr>
                <w:rFonts w:ascii="仿宋_GB2312" w:eastAsia="仿宋_GB2312" w:cs="黑体" w:hAnsi="黑体" w:hint="eastAsia"/>
                <w:color w:val="000000"/>
                <w:kern w:val="0"/>
                <w:sz w:val="18"/>
                <w:szCs w:val="18"/>
              </w:rPr>
            </w:pPr>
            <w:r>
              <w:rPr>
                <w:rFonts w:ascii="黑体" w:eastAsia="黑体" w:cs="黑体" w:hint="eastAsia"/>
                <w:b/>
                <w:bCs/>
                <w:color w:val="000000"/>
                <w:kern w:val="0"/>
                <w:szCs w:val="21"/>
              </w:rPr>
              <w:t>监督方式</w:t>
            </w:r>
          </w:p>
        </w:tc>
        <w:tc>
          <w:tcPr>
            <w:tcW w:w="9084"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571" w:type="dxa"/>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hint="eastAsia"/>
                <w:color w:val="000000"/>
                <w:kern w:val="0"/>
                <w:sz w:val="18"/>
                <w:szCs w:val="18"/>
              </w:rPr>
            </w:pPr>
            <w:r>
              <w:rPr>
                <w:rFonts w:ascii="黑体" w:eastAsia="黑体" w:cs="黑体" w:hint="eastAsia"/>
                <w:b/>
                <w:bCs/>
                <w:color w:val="000000"/>
                <w:kern w:val="0"/>
                <w:szCs w:val="21"/>
              </w:rPr>
              <w:t>法定救济途径</w:t>
            </w:r>
          </w:p>
        </w:tc>
        <w:tc>
          <w:tcPr>
            <w:tcW w:w="9084"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1．不服许可决定自知道该具体行政行为之日起六十日内向</w:t>
            </w:r>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228"/>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084"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Calibri">
    <w:panose1 w:val="020F0502020204030204"/>
    <w:charset w:val="00"/>
    <w:family w:val="swiss"/>
    <w:pitch w:val="variable"/>
    <w:sig w:usb0="E00002FF" w:usb1="4000ACFF" w:usb2="00000001" w:usb3="00000000" w:csb0="2000019F"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60118AD-0CE8-4AD2-9AD5-78074E78E64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7</TotalTime>
  <Application>Yozo_Office27021597764231179</Application>
  <Pages>2</Pages>
  <Words>0</Words>
  <Characters>1023</Characters>
  <Lines>0</Lines>
  <Paragraphs>3</Paragraphs>
  <CharactersWithSpaces>1365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2024-09-27T07:27:50Z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57D31C458E544C0EB5950BE2F9F26B1C_12</vt:lpwstr>
  </property>
</Properties>
</file>