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对非法采砂行为的处罚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黑体" w:hAnsi="黑体" w:eastAsia="黑体" w:cs="黑体"/>
                <w:color w:val="000000"/>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黑体"/>
                <w:kern w:val="0"/>
                <w:sz w:val="18"/>
                <w:szCs w:val="18"/>
              </w:rPr>
            </w:pPr>
            <w:r>
              <w:rPr>
                <w:rFonts w:hint="eastAsia" w:ascii="仿宋_GB2312" w:eastAsia="仿宋_GB2312" w:cs="黑体"/>
                <w:kern w:val="0"/>
                <w:sz w:val="18"/>
                <w:szCs w:val="18"/>
              </w:rPr>
              <w:t>《河北省海域使用管理条例》第四十二条非法采砂的，责令停止违法行为，没收违法所得，并处五千元以上五万元以下的罚款；情节严重的，除没收违法所得外，并处五万元以上十万元以下的罚款。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57720B1B"/>
    <w:rsid w:val="003463D6"/>
    <w:rsid w:val="003C7A64"/>
    <w:rsid w:val="00766BCE"/>
    <w:rsid w:val="008039DA"/>
    <w:rsid w:val="00E32165"/>
    <w:rsid w:val="00FD7D1B"/>
    <w:rsid w:val="00FF79FF"/>
    <w:rsid w:val="32B20396"/>
    <w:rsid w:val="3C8B567D"/>
    <w:rsid w:val="47577760"/>
    <w:rsid w:val="57720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967</Words>
  <Characters>1010</Characters>
  <Lines>7</Lines>
  <Paragraphs>2</Paragraphs>
  <TotalTime>0</TotalTime>
  <ScaleCrop>false</ScaleCrop>
  <LinksUpToDate>false</LinksUpToDate>
  <CharactersWithSpaces>1010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2023-09-08T03:37:00Z</dcterms:created>
  <dc:creator>Administrator</dc:creator>
  <cp:lastModifiedBy>旭日东升</cp:lastModifiedBy>
  <dcterms:modified xsi:type="dcterms:W3CDTF">2024-07-12T07:58:28Z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2FB6B08918BA444B8BDF07C0C6C4C5CD_12</vt:lpwstr>
  </property>
</Properties>
</file>