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hint="eastAsia" w:ascii="方正小标宋简体" w:eastAsia="方正小标宋简体" w:cs="方正小标宋简体"/>
          <w:color w:val="000000"/>
          <w:kern w:val="0"/>
          <w:sz w:val="32"/>
          <w:szCs w:val="32"/>
        </w:rPr>
        <w:t>履职行权规程</w:t>
      </w:r>
    </w:p>
    <w:tbl>
      <w:tblPr>
        <w:tblStyle w:val="2"/>
        <w:tblW w:w="106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571"/>
        <w:gridCol w:w="991"/>
        <w:gridCol w:w="700"/>
        <w:gridCol w:w="1691"/>
        <w:gridCol w:w="1963"/>
        <w:gridCol w:w="1203"/>
        <w:gridCol w:w="215"/>
        <w:gridCol w:w="850"/>
        <w:gridCol w:w="14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19" w:hRule="atLeast"/>
          <w:jc w:val="center"/>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hint="default" w:ascii="黑体" w:eastAsia="黑体" w:cs="黑体"/>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232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15" w:hRule="atLeast"/>
          <w:jc w:val="center"/>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9084" w:type="dxa"/>
            <w:gridSpan w:val="8"/>
            <w:tcBorders>
              <w:tl2br w:val="nil"/>
              <w:tr2bl w:val="nil"/>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0"/>
                <w:szCs w:val="20"/>
                <w:u w:val="none"/>
                <w:lang w:val="en-US" w:eastAsia="zh-CN" w:bidi="ar-SA"/>
              </w:rPr>
            </w:pPr>
            <w:r>
              <w:rPr>
                <w:rFonts w:hint="default" w:ascii="仿宋_GB2312" w:hAnsi="宋体" w:eastAsia="仿宋_GB2312" w:cs="仿宋_GB2312"/>
                <w:i w:val="0"/>
                <w:color w:val="000000"/>
                <w:kern w:val="0"/>
                <w:sz w:val="20"/>
                <w:szCs w:val="20"/>
                <w:u w:val="none"/>
                <w:lang w:val="en-US" w:eastAsia="zh-CN" w:bidi="ar"/>
              </w:rPr>
              <w:t>对有关当事人拒不归还非法批准、使用的土地的行政处罚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9084" w:type="dxa"/>
            <w:gridSpan w:val="8"/>
            <w:tcBorders>
              <w:tl2br w:val="nil"/>
              <w:tr2bl w:val="nil"/>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FF0000"/>
                <w:kern w:val="2"/>
                <w:sz w:val="16"/>
                <w:szCs w:val="16"/>
                <w:u w:val="none"/>
                <w:lang w:val="en-US" w:eastAsia="zh-CN" w:bidi="ar-SA"/>
              </w:rPr>
            </w:pPr>
            <w:r>
              <w:rPr>
                <w:rFonts w:hint="eastAsia" w:ascii="仿宋" w:hAnsi="仿宋" w:eastAsia="仿宋" w:cs="仿宋"/>
                <w:i w:val="0"/>
                <w:color w:val="000000" w:themeColor="text1"/>
                <w:kern w:val="0"/>
                <w:sz w:val="16"/>
                <w:szCs w:val="16"/>
                <w:u w:val="none"/>
                <w:lang w:val="en-US" w:eastAsia="zh-CN" w:bidi="ar"/>
                <w14:textFill>
                  <w14:solidFill>
                    <w14:schemeClr w14:val="tx1"/>
                  </w14:solidFill>
                </w14:textFill>
              </w:rPr>
              <w:t>市级以上重点项目、跨乡镇区违法用地案件、黄金海岸北区由自然资源和规划局负责；其他区域由各乡镇（南区）政府负责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997" w:hRule="atLeast"/>
          <w:jc w:val="center"/>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9084" w:type="dxa"/>
            <w:gridSpan w:val="8"/>
            <w:tcBorders>
              <w:tl2br w:val="nil"/>
              <w:tr2bl w:val="nil"/>
            </w:tcBorders>
            <w:shd w:val="clear" w:color="auto" w:fill="auto"/>
            <w:vAlign w:val="center"/>
          </w:tcPr>
          <w:p>
            <w:pPr>
              <w:widowControl w:val="0"/>
              <w:adjustRightInd/>
              <w:snapToGrid/>
              <w:spacing w:after="0" w:line="240" w:lineRule="exact"/>
              <w:jc w:val="both"/>
              <w:rPr>
                <w:rFonts w:hint="eastAsia" w:ascii="黑体" w:hAnsi="黑体" w:eastAsia="黑体" w:cs="仿宋_GB2312"/>
                <w:kern w:val="0"/>
                <w:sz w:val="18"/>
                <w:szCs w:val="18"/>
              </w:rPr>
            </w:pPr>
            <w:r>
              <w:rPr>
                <w:rFonts w:hint="eastAsia" w:ascii="黑体" w:hAnsi="黑体" w:eastAsia="黑体" w:cs="仿宋_GB2312"/>
                <w:kern w:val="0"/>
                <w:sz w:val="18"/>
                <w:szCs w:val="18"/>
              </w:rPr>
              <w:t>【法律法规】</w:t>
            </w:r>
          </w:p>
          <w:p>
            <w:pPr>
              <w:widowControl w:val="0"/>
              <w:adjustRightInd/>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中华人民共和国土地管理法》第七十七条、未经批准或者采取欺骗手段骗取批准，非法占用土地的，由县级以上人民政府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处分;构成犯罪的，依法追究刑事责任。</w:t>
            </w:r>
          </w:p>
          <w:p>
            <w:pPr>
              <w:widowControl w:val="0"/>
              <w:adjustRightInd/>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超过批准的数量占用土地，多占的土地以非法占用土地论处。</w:t>
            </w:r>
          </w:p>
          <w:p>
            <w:pPr>
              <w:widowControl w:val="0"/>
              <w:adjustRightInd/>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第七十九条、无权批准征收、使用土地的单位或者个人非法批准占用土地的，超越批准权限非法批准占用土地的，不按照土地利用总体规划确定的用途批准用地的，或者违反法律规定的程序批准占用、征收土地的，其批准文件无效，对非法批准征收、使用土地的直接负责的主管人员和其他直接责任人员，依法给予处分;构成犯罪的，依法追究刑事责任。非法批准、使用的土地应当收回，有关当事人拒不归还的，以非法占用土地论处。</w:t>
            </w:r>
          </w:p>
          <w:p>
            <w:pPr>
              <w:widowControl w:val="0"/>
              <w:adjustRightInd/>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非法批准征收、使用土地，对当事人造成损失的，依法应当承担赔偿责任。</w:t>
            </w:r>
          </w:p>
          <w:p>
            <w:pPr>
              <w:widowControl w:val="0"/>
              <w:adjustRightInd/>
              <w:snapToGrid/>
              <w:spacing w:after="0" w:line="240" w:lineRule="exact"/>
              <w:jc w:val="both"/>
              <w:rPr>
                <w:rFonts w:hint="eastAsia" w:ascii="黑体" w:hAnsi="黑体" w:eastAsia="黑体" w:cs="仿宋_GB2312"/>
                <w:kern w:val="0"/>
                <w:sz w:val="18"/>
                <w:szCs w:val="18"/>
              </w:rPr>
            </w:pPr>
            <w:r>
              <w:rPr>
                <w:rFonts w:hint="eastAsia" w:ascii="黑体" w:hAnsi="黑体" w:eastAsia="黑体" w:cs="仿宋_GB2312"/>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hint="eastAsia" w:ascii="仿宋_GB2312" w:hAnsi="黑体" w:eastAsia="仿宋_GB2312" w:cs="黑体"/>
                <w:color w:val="000000"/>
                <w:kern w:val="2"/>
                <w:sz w:val="18"/>
                <w:szCs w:val="18"/>
              </w:rPr>
              <w:t>昌办字〔2019〕39号第（三十三）条。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5" w:hRule="atLeast"/>
          <w:jc w:val="center"/>
        </w:trPr>
        <w:tc>
          <w:tcPr>
            <w:tcW w:w="1571"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99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41" w:hRule="exact"/>
          <w:jc w:val="center"/>
        </w:trPr>
        <w:tc>
          <w:tcPr>
            <w:tcW w:w="1571" w:type="dxa"/>
            <w:vMerge w:val="continue"/>
            <w:tcBorders>
              <w:tl2br w:val="nil"/>
              <w:tr2bl w:val="nil"/>
            </w:tcBorders>
            <w:shd w:val="clear" w:color="auto" w:fill="auto"/>
            <w:vAlign w:val="center"/>
          </w:tcPr>
          <w:p/>
        </w:tc>
        <w:tc>
          <w:tcPr>
            <w:tcW w:w="991"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55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471" w:type="dxa"/>
            <w:tcBorders>
              <w:tl2br w:val="nil"/>
              <w:tr2bl w:val="nil"/>
            </w:tcBorders>
            <w:shd w:val="clear" w:color="auto" w:fill="auto"/>
            <w:vAlign w:val="center"/>
          </w:tcPr>
          <w:p>
            <w:pPr>
              <w:jc w:val="both"/>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执法监察大队、</w:t>
            </w:r>
          </w:p>
          <w:p>
            <w:pPr>
              <w:jc w:val="both"/>
              <w:rPr>
                <w:rFonts w:ascii="仿宋_GB2312" w:hAnsi="黑体" w:eastAsia="仿宋_GB2312" w:cs="黑体"/>
                <w:color w:val="000000"/>
                <w:sz w:val="18"/>
                <w:szCs w:val="18"/>
              </w:rPr>
            </w:pPr>
            <w:r>
              <w:rPr>
                <w:rFonts w:hint="eastAsia" w:ascii="仿宋_GB2312" w:hAnsi="黑体" w:eastAsia="仿宋_GB2312" w:cs="黑体"/>
                <w:color w:val="000000"/>
                <w:sz w:val="18"/>
                <w:szCs w:val="18"/>
              </w:rPr>
              <w:t>黄金海岸分局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59" w:hRule="exact"/>
          <w:jc w:val="center"/>
        </w:trPr>
        <w:tc>
          <w:tcPr>
            <w:tcW w:w="1571" w:type="dxa"/>
            <w:vMerge w:val="continue"/>
            <w:tcBorders>
              <w:tl2br w:val="nil"/>
              <w:tr2bl w:val="nil"/>
            </w:tcBorders>
            <w:shd w:val="clear" w:color="auto" w:fill="auto"/>
            <w:vAlign w:val="center"/>
          </w:tcPr>
          <w:p/>
        </w:tc>
        <w:tc>
          <w:tcPr>
            <w:tcW w:w="991" w:type="dxa"/>
            <w:tcBorders>
              <w:tl2br w:val="nil"/>
              <w:tr2bl w:val="nil"/>
            </w:tcBorders>
            <w:shd w:val="clear" w:color="auto" w:fill="auto"/>
            <w:vAlign w:val="center"/>
          </w:tcPr>
          <w:p>
            <w:pPr>
              <w:jc w:val="cente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557" w:type="dxa"/>
            <w:gridSpan w:val="4"/>
            <w:tcBorders>
              <w:tl2br w:val="nil"/>
              <w:tr2bl w:val="nil"/>
            </w:tcBorders>
            <w:shd w:val="clear" w:color="auto" w:fill="auto"/>
            <w:vAlign w:val="center"/>
          </w:tcPr>
          <w:p>
            <w:pPr>
              <w:jc w:val="cente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jc w:val="center"/>
              <w:rPr>
                <w:rFonts w:hint="eastAsia" w:ascii="仿宋_GB2312" w:hAnsi="黑体" w:eastAsia="仿宋_GB2312" w:cs="黑体"/>
                <w:color w:val="000000"/>
                <w:sz w:val="18"/>
                <w:szCs w:val="18"/>
              </w:rPr>
            </w:pPr>
          </w:p>
        </w:tc>
        <w:tc>
          <w:tcPr>
            <w:tcW w:w="1471" w:type="dxa"/>
            <w:tcBorders>
              <w:tl2br w:val="nil"/>
              <w:tr2bl w:val="nil"/>
            </w:tcBorders>
            <w:shd w:val="clear" w:color="auto" w:fill="auto"/>
          </w:tcPr>
          <w:p>
            <w:pPr>
              <w:jc w:val="cente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执法监察大队、</w:t>
            </w:r>
          </w:p>
          <w:p>
            <w:pPr>
              <w:jc w:val="cente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黄金海岸分局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23" w:hRule="exact"/>
          <w:jc w:val="center"/>
        </w:trPr>
        <w:tc>
          <w:tcPr>
            <w:tcW w:w="1571" w:type="dxa"/>
            <w:vMerge w:val="continue"/>
            <w:tcBorders>
              <w:tl2br w:val="nil"/>
              <w:tr2bl w:val="nil"/>
            </w:tcBorders>
            <w:shd w:val="clear" w:color="auto" w:fill="auto"/>
            <w:vAlign w:val="center"/>
          </w:tcPr>
          <w:p/>
        </w:tc>
        <w:tc>
          <w:tcPr>
            <w:tcW w:w="991"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55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471" w:type="dxa"/>
            <w:tcBorders>
              <w:tl2br w:val="nil"/>
              <w:tr2bl w:val="nil"/>
            </w:tcBorders>
            <w:shd w:val="clear" w:color="auto" w:fill="auto"/>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执法监察大队、</w:t>
            </w:r>
          </w:p>
          <w:p>
            <w:r>
              <w:rPr>
                <w:rFonts w:hint="eastAsia" w:ascii="仿宋_GB2312" w:hAnsi="黑体" w:eastAsia="仿宋_GB2312" w:cs="黑体"/>
                <w:color w:val="000000"/>
                <w:sz w:val="18"/>
                <w:szCs w:val="18"/>
              </w:rPr>
              <w:t>黄金海岸分局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93" w:hRule="exact"/>
          <w:jc w:val="center"/>
        </w:trPr>
        <w:tc>
          <w:tcPr>
            <w:tcW w:w="1571" w:type="dxa"/>
            <w:vMerge w:val="continue"/>
            <w:tcBorders>
              <w:tl2br w:val="nil"/>
              <w:tr2bl w:val="nil"/>
            </w:tcBorders>
            <w:shd w:val="clear" w:color="auto" w:fill="auto"/>
            <w:vAlign w:val="center"/>
          </w:tcPr>
          <w:p/>
        </w:tc>
        <w:tc>
          <w:tcPr>
            <w:tcW w:w="991"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55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制作事先告知书（听证告知书）、处罚决定书</w:t>
            </w:r>
          </w:p>
        </w:tc>
        <w:tc>
          <w:tcPr>
            <w:tcW w:w="1065"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471" w:type="dxa"/>
            <w:tcBorders>
              <w:tl2br w:val="nil"/>
              <w:tr2bl w:val="nil"/>
            </w:tcBorders>
            <w:shd w:val="clear" w:color="auto" w:fill="auto"/>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执法监察大队、</w:t>
            </w:r>
          </w:p>
          <w:p>
            <w:r>
              <w:rPr>
                <w:rFonts w:hint="eastAsia" w:ascii="仿宋_GB2312" w:hAnsi="黑体" w:eastAsia="仿宋_GB2312" w:cs="黑体"/>
                <w:color w:val="000000"/>
                <w:sz w:val="18"/>
                <w:szCs w:val="18"/>
              </w:rPr>
              <w:t>黄金海岸分局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84" w:hRule="exact"/>
          <w:jc w:val="center"/>
        </w:trPr>
        <w:tc>
          <w:tcPr>
            <w:tcW w:w="1571" w:type="dxa"/>
            <w:vMerge w:val="continue"/>
            <w:tcBorders>
              <w:tl2br w:val="nil"/>
              <w:tr2bl w:val="nil"/>
            </w:tcBorders>
            <w:shd w:val="clear" w:color="auto" w:fill="auto"/>
            <w:vAlign w:val="center"/>
          </w:tcPr>
          <w:p/>
        </w:tc>
        <w:tc>
          <w:tcPr>
            <w:tcW w:w="991"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55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471" w:type="dxa"/>
            <w:tcBorders>
              <w:tl2br w:val="nil"/>
              <w:tr2bl w:val="nil"/>
            </w:tcBorders>
            <w:shd w:val="clear" w:color="auto" w:fill="auto"/>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执法监察大队、</w:t>
            </w:r>
          </w:p>
          <w:p>
            <w:r>
              <w:rPr>
                <w:rFonts w:hint="eastAsia" w:ascii="仿宋_GB2312" w:hAnsi="黑体" w:eastAsia="仿宋_GB2312" w:cs="黑体"/>
                <w:color w:val="000000"/>
                <w:sz w:val="18"/>
                <w:szCs w:val="18"/>
              </w:rPr>
              <w:t>黄金海岸分局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722" w:hRule="atLeast"/>
          <w:jc w:val="center"/>
        </w:trPr>
        <w:tc>
          <w:tcPr>
            <w:tcW w:w="1571"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9084" w:type="dxa"/>
            <w:gridSpan w:val="8"/>
            <w:tcBorders>
              <w:tl2br w:val="nil"/>
              <w:tr2bl w:val="nil"/>
            </w:tcBorders>
            <w:shd w:val="clear" w:color="auto" w:fill="auto"/>
            <w:vAlign w:val="center"/>
          </w:tcPr>
          <w:p>
            <w:pPr>
              <w:keepNext w:val="0"/>
              <w:keepLines w:val="0"/>
              <w:widowControl/>
              <w:suppressLineNumbers w:val="0"/>
              <w:jc w:val="left"/>
              <w:textAlignment w:val="center"/>
              <w:rPr>
                <w:rFonts w:ascii="仿宋" w:hAnsi="仿宋" w:eastAsia="仿宋" w:cs="仿宋"/>
                <w:i w:val="0"/>
                <w:color w:val="000000"/>
                <w:kern w:val="2"/>
                <w:sz w:val="16"/>
                <w:szCs w:val="16"/>
                <w:u w:val="none"/>
                <w:lang w:val="en-US" w:eastAsia="zh-CN" w:bidi="ar-SA"/>
              </w:rPr>
            </w:pPr>
            <w:r>
              <w:rPr>
                <w:rFonts w:hint="eastAsia" w:ascii="仿宋" w:hAnsi="仿宋" w:eastAsia="仿宋" w:cs="仿宋"/>
                <w:i w:val="0"/>
                <w:color w:val="000000"/>
                <w:kern w:val="0"/>
                <w:sz w:val="16"/>
                <w:szCs w:val="16"/>
                <w:u w:val="none"/>
                <w:lang w:val="en-US" w:eastAsia="zh-CN" w:bidi="ar"/>
              </w:rPr>
              <w:t>因不履行或不正确履行行政职责，有下列情形的，行政机关及相关工作人员应承担相应责任：</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1、没有法律和事实依据实施行政处罚的；</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2、擅自改变行政处罚种类、幅度的；</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3、违反法定程序进行行政处罚的；</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4、违反委托处罚规定的；</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5、对违法行为未依法制止的；</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6、应当依法立案查处，无正当理由未依法立案查处的；</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7、在制止以及查处违法案件中受阻，依照有关规定应当向本级人民政府或者上级国土资源主管部门报告而未报告的；</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8、符合听证条件、行政管理相对人要求听证，应予组织听证而不组织听证的。</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9、应当依法进行行政处罚而未依法处罚的；</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10、应当依法移送追究刑事责任，而未依法移送有权机关的；</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11、在行政处罚过程中发生腐败行为的；</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9084"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1.业务咨询：0335-2861320</w:t>
            </w:r>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61" w:hRule="atLeast"/>
          <w:jc w:val="center"/>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9084" w:type="dxa"/>
            <w:gridSpan w:val="8"/>
            <w:tcBorders>
              <w:tl2br w:val="nil"/>
              <w:tr2bl w:val="nil"/>
            </w:tcBorders>
            <w:shd w:val="clear" w:color="auto" w:fill="auto"/>
            <w:vAlign w:val="center"/>
          </w:tcPr>
          <w:p>
            <w:pPr>
              <w:widowControl/>
              <w:adjustRightInd/>
              <w:snapToGrid/>
              <w:spacing w:after="0" w:line="240" w:lineRule="auto"/>
              <w:jc w:val="left"/>
              <w:textAlignment w:val="center"/>
              <w:rPr>
                <w:rFonts w:hint="eastAsia" w:ascii="仿宋_GB2312" w:hAnsi="Calibri" w:eastAsia="仿宋_GB2312" w:cs="仿宋_GB2312"/>
                <w:color w:val="000000"/>
                <w:kern w:val="0"/>
                <w:sz w:val="18"/>
                <w:szCs w:val="18"/>
              </w:rPr>
            </w:pPr>
            <w:r>
              <w:rPr>
                <w:rFonts w:hint="eastAsia" w:ascii="仿宋_GB2312" w:eastAsia="仿宋_GB2312" w:cs="仿宋_GB2312"/>
                <w:color w:val="000000"/>
                <w:kern w:val="0"/>
                <w:sz w:val="18"/>
                <w:szCs w:val="18"/>
              </w:rPr>
              <w:t>1</w:t>
            </w:r>
            <w:r>
              <w:rPr>
                <w:rFonts w:hint="eastAsia" w:ascii="仿宋_GB2312" w:hAnsi="Calibri" w:eastAsia="仿宋_GB2312" w:cs="仿宋_GB2312"/>
                <w:color w:val="000000"/>
                <w:kern w:val="0"/>
                <w:sz w:val="18"/>
                <w:szCs w:val="18"/>
              </w:rPr>
              <w:t>．不服许可决定自知道该具体行政行为之日起六十日内向</w:t>
            </w:r>
            <w:r>
              <w:rPr>
                <w:rFonts w:hint="eastAsia" w:ascii="仿宋_GB2312" w:hAnsi="Calibri" w:eastAsia="仿宋_GB2312" w:cs="仿宋_GB2312"/>
                <w:color w:val="000000"/>
                <w:kern w:val="0"/>
                <w:sz w:val="18"/>
                <w:szCs w:val="18"/>
                <w:lang w:eastAsia="zh-CN"/>
              </w:rPr>
              <w:t>县</w:t>
            </w:r>
            <w:r>
              <w:rPr>
                <w:rFonts w:hint="eastAsia" w:ascii="仿宋_GB2312" w:hAnsi="Calibri" w:eastAsia="仿宋_GB2312" w:cs="仿宋_GB2312"/>
                <w:color w:val="000000"/>
                <w:kern w:val="0"/>
                <w:sz w:val="18"/>
                <w:szCs w:val="18"/>
              </w:rPr>
              <w:t>政府申请行政复议。</w:t>
            </w:r>
          </w:p>
          <w:p>
            <w:pPr>
              <w:widowControl/>
              <w:adjustRightInd/>
              <w:snapToGrid/>
              <w:spacing w:after="0" w:line="240" w:lineRule="auto"/>
              <w:jc w:val="left"/>
              <w:textAlignment w:val="center"/>
              <w:rPr>
                <w:rFonts w:ascii="黑体" w:eastAsia="黑体" w:cs="黑体"/>
                <w:b/>
                <w:bCs/>
                <w:color w:val="000000"/>
                <w:szCs w:val="21"/>
              </w:rPr>
            </w:pPr>
            <w:r>
              <w:rPr>
                <w:rFonts w:hint="eastAsia" w:ascii="仿宋_GB2312" w:hAnsi="Calibri" w:eastAsia="仿宋_GB2312" w:cs="仿宋_GB2312"/>
                <w:color w:val="000000"/>
                <w:kern w:val="0"/>
                <w:sz w:val="18"/>
                <w:szCs w:val="18"/>
              </w:rPr>
              <w:t>2．不服许可决定应当自知道或者应当知道作出行政行为之日起六个月内提出向</w:t>
            </w:r>
            <w:r>
              <w:rPr>
                <w:rFonts w:hint="eastAsia" w:ascii="仿宋_GB2312" w:hAnsi="Calibri" w:eastAsia="仿宋_GB2312" w:cs="仿宋_GB2312"/>
                <w:color w:val="000000"/>
                <w:kern w:val="0"/>
                <w:sz w:val="18"/>
                <w:szCs w:val="18"/>
                <w:lang w:eastAsia="zh-CN"/>
              </w:rPr>
              <w:t>昌黎县</w:t>
            </w:r>
            <w:bookmarkStart w:id="0" w:name="_GoBack"/>
            <w:bookmarkEnd w:id="0"/>
            <w:r>
              <w:rPr>
                <w:rFonts w:hint="eastAsia" w:ascii="仿宋_GB2312" w:hAnsi="Calibri"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9084"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MzhjZGM4NWU5YjQzMDRhODI2MDc4MjM4NWZhZjE0YjAifQ=="/>
  </w:docVars>
  <w:rsids>
    <w:rsidRoot w:val="00D31D50"/>
    <w:rsid w:val="00323B43"/>
    <w:rsid w:val="003D37D8"/>
    <w:rsid w:val="00426133"/>
    <w:rsid w:val="004358AB"/>
    <w:rsid w:val="008B7726"/>
    <w:rsid w:val="00D31D50"/>
    <w:rsid w:val="05C6086B"/>
    <w:rsid w:val="169A5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1330</Words>
  <Characters>1373</Characters>
  <Lines>1</Lines>
  <Paragraphs>1</Paragraphs>
  <TotalTime>3</TotalTime>
  <ScaleCrop>false</ScaleCrop>
  <LinksUpToDate>false</LinksUpToDate>
  <CharactersWithSpaces>1373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旭日东升</cp:lastModifiedBy>
  <dcterms:modified xsi:type="dcterms:W3CDTF">2024-07-10T07:20:28Z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94DB1B64E9104F56833615718E04E412_12</vt:lpwstr>
  </property>
</Properties>
</file>