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18"/>
                <w:szCs w:val="18"/>
                <w:u w:val="none"/>
                <w:lang w:val="en-US" w:eastAsia="zh-CN" w:bidi="ar-SA"/>
              </w:rPr>
            </w:pPr>
            <w:r>
              <w:rPr>
                <w:rFonts w:ascii="仿宋_GB2312" w:eastAsia="仿宋_GB2312" w:cs="仿宋_GB2312" w:hAnsi="宋体"/>
                <w:i w:val="0"/>
                <w:color w:val="000000"/>
                <w:kern w:val="0"/>
                <w:sz w:val="18"/>
                <w:szCs w:val="18"/>
                <w:u w:val="none"/>
                <w:lang w:val="en-US" w:eastAsia="zh-CN"/>
              </w:rPr>
              <w:t>对依法收回国有土地使用权当事人拒不交出土地的，临时使用土地期满拒不归还土地的，或者不按照批准的用途使用土地的行政处罚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 w:eastAsia="仿宋" w:cs="仿宋" w:hAnsi="仿宋"/>
                <w:i w:val="0"/>
                <w:color w:val="auto"/>
                <w:kern w:val="2"/>
                <w:sz w:val="18"/>
                <w:szCs w:val="18"/>
                <w:u w:val="none"/>
                <w:lang w:val="en-US" w:eastAsia="zh-CN" w:bidi="ar-SA"/>
              </w:rPr>
            </w:pPr>
            <w:r>
              <w:rPr>
                <w:rFonts w:ascii="仿宋" w:eastAsia="仿宋" w:cs="仿宋" w:hAnsi="仿宋" w:hint="eastAsia"/>
                <w:i w:val="0"/>
                <w:color w:val="auto"/>
                <w:kern w:val="0"/>
                <w:sz w:val="16"/>
                <w:szCs w:val="16"/>
                <w:u w:val="none"/>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lang w:eastAsia="zh-CN"/>
              </w:rPr>
              <w:t>《</w:t>
            </w:r>
            <w:r>
              <w:rPr>
                <w:rFonts w:ascii="仿宋_GB2312" w:eastAsia="仿宋_GB2312" w:cs="黑体" w:hAnsi="Calibri" w:hint="eastAsia"/>
                <w:kern w:val="0"/>
                <w:sz w:val="18"/>
                <w:szCs w:val="18"/>
              </w:rPr>
              <w:t>中华人民共和国土地管理法》第八十一条，依法收回国有土地使用权当事人拒不交出土地的，临时使用土地期满拒不归还的，或者不按照批准的用途使用国有土地的，由县级以上人民政府自然资源主管部门责令交还土地，处以罚款。《中华人民共和国土地管理法实施条例》（1998年12月国务院令第256号，2021年7月国务院令第743号第三次修订）第五十九条：“依照《</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土地管理法》第八十一条的规定处以罚款的，罚款额为非法占用土地每平方米100元以上500元以下。”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vAlign w:val="center"/>
          </w:tcPr>
          <w:p>
            <w:pPr>
              <w:jc w:val="cente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290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br/>
              <w:t>1、没有法律和事实依据实施行政处罚的；</w:t>
              <w:br/>
              <w:t>2、擅自改变行政处罚种类、幅度的；</w:t>
              <w:br/>
              <w:t>3、违反法定程序进行行政处罚的；</w:t>
              <w:br/>
              <w:t>4、违反委托处罚规定的；</w:t>
              <w:br/>
              <w:t>5、对违法行为未依法制止的；</w:t>
              <w:br/>
              <w:t>6、应当依法立案查处，无正当理由未依法立案查处的；</w:t>
              <w:br/>
              <w:t>7、在制止以及查处违法案件中受阻，依照有关规定应当向本级人民政府或者上级国土资源主管部门报告而未报告的；</w:t>
              <w:br/>
              <w:t>8、符合听证条件、行政管理相对人要求听证，应予组织听证而不组织听证的。</w:t>
              <w:br/>
              <w:t>9、应当依法进行行政处罚而未依法处罚的；</w:t>
              <w:br/>
              <w:t>10、应当依法移送追究刑事责任，而未依法移送有权机关的；</w:t>
              <w:br/>
              <w:t>11、在行政处罚过程中发生腐败行为的；</w:t>
              <w:b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val="en-US"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8E02AB7-4FF4-4608-89D7-CF7BB6365CBC}">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930</Characters>
  <Lines>0</Lines>
  <Paragraphs>3</Paragraphs>
  <CharactersWithSpaces>1240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2024-09-27T07:32:23Z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0F45A8722EC343CF845CE9D2678AE788_12</vt:lpwstr>
  </property>
</Properties>
</file>