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spacing w:line="240" w:lineRule="auto"/>
        <w:jc w:val="center"/>
        <w:textAlignment w:val="center"/>
        <w:rPr>
          <w:rFonts w:ascii="方正小标宋简体" w:eastAsia="方正小标宋简体" w:cs="方正小标宋简体"/>
          <w:color w:val="000000"/>
          <w:kern w:val="0"/>
          <w:sz w:val="32"/>
          <w:szCs w:val="32"/>
        </w:rPr>
      </w:pPr>
      <w:r>
        <w:rPr>
          <w:rFonts w:ascii="方正小标宋简体" w:eastAsia="方正小标宋简体" w:cs="方正小标宋简体" w:hint="eastAsia"/>
          <w:color w:val="000000"/>
          <w:kern w:val="0"/>
          <w:sz w:val="32"/>
          <w:szCs w:val="32"/>
        </w:rPr>
        <w:t>履职行权规程</w:t>
      </w:r>
    </w:p>
    <w:tbl>
      <w:tblPr>
        <w:jc w:val="center"/>
        <w:tblW w:w="106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392"/>
        <w:gridCol w:w="1170"/>
        <w:gridCol w:w="700"/>
        <w:gridCol w:w="1691"/>
        <w:gridCol w:w="1963"/>
        <w:gridCol w:w="1203"/>
        <w:gridCol w:w="215"/>
        <w:gridCol w:w="850"/>
        <w:gridCol w:w="1471"/>
      </w:tblGrid>
      <w:tr>
        <w:trPr>
          <w:trHeight w:val="319"/>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编号</w:t>
            </w:r>
          </w:p>
        </w:tc>
        <w:tc>
          <w:tcPr>
            <w:tcW w:w="1870" w:type="dxa"/>
            <w:gridSpan w:val="2"/>
            <w:tcBorders>
              <w:tl2br w:val="nil"/>
              <w:tr2bl w:val="nil"/>
            </w:tcBorders>
            <w:shd w:val="clear" w:color="auto" w:fill="auto"/>
            <w:vAlign w:val="center"/>
          </w:tcPr>
          <w:p>
            <w:pPr>
              <w:jc w:val="center"/>
              <w:rPr>
                <w:rFonts w:ascii="黑体" w:eastAsia="黑体" w:cs="黑体"/>
                <w:b/>
                <w:bCs/>
                <w:color w:val="000000"/>
                <w:szCs w:val="21"/>
                <w:lang w:val="en-US" w:eastAsia="zh-CN"/>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ascii="黑体" w:eastAsia="黑体" w:cs="黑体" w:hint="eastAsia"/>
                <w:b/>
                <w:bCs/>
                <w:color w:val="000000"/>
                <w:kern w:val="0"/>
                <w:szCs w:val="21"/>
              </w:rPr>
              <w:t>权力类型</w:t>
            </w:r>
          </w:p>
        </w:tc>
        <w:tc>
          <w:tcPr>
            <w:tcW w:w="1963"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行政处罚</w:t>
            </w:r>
          </w:p>
        </w:tc>
        <w:tc>
          <w:tcPr>
            <w:tcW w:w="1418"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实施主体</w:t>
            </w:r>
          </w:p>
        </w:tc>
        <w:tc>
          <w:tcPr>
            <w:tcW w:w="232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昌黎县自然资源和规划局</w:t>
            </w:r>
          </w:p>
        </w:tc>
      </w:tr>
      <w:tr>
        <w:trPr>
          <w:trHeight w:val="315"/>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事项名称</w:t>
            </w:r>
          </w:p>
        </w:tc>
        <w:tc>
          <w:tcPr>
            <w:tcW w:w="9263" w:type="dxa"/>
            <w:gridSpan w:val="8"/>
            <w:tcBorders>
              <w:tl2br w:val="nil"/>
              <w:tr2bl w:val="nil"/>
            </w:tcBorders>
            <w:shd w:val="clear" w:color="auto" w:fill="auto"/>
            <w:vAlign w:val="center"/>
          </w:tcPr>
          <w:p>
            <w:pPr>
              <w:keepNext w:val="0"/>
              <w:keepLines w:val="0"/>
              <w:widowControl/>
              <w:suppressLineNumbers w:val="0"/>
              <w:jc w:val="center"/>
              <w:textAlignment w:val="center"/>
              <w:rPr>
                <w:rFonts w:ascii="仿宋_GB2312" w:eastAsia="仿宋_GB2312" w:cs="仿宋_GB2312" w:hAnsi="宋体"/>
                <w:i w:val="0"/>
                <w:color w:val="000000"/>
                <w:kern w:val="2"/>
                <w:sz w:val="20"/>
                <w:szCs w:val="20"/>
                <w:u w:val="none"/>
                <w:lang w:val="en-US" w:eastAsia="zh-CN" w:bidi="ar-SA"/>
              </w:rPr>
            </w:pPr>
            <w:r>
              <w:rPr>
                <w:rFonts w:ascii="仿宋_GB2312" w:eastAsia="仿宋_GB2312" w:cs="仿宋_GB2312" w:hAnsi="宋体"/>
                <w:i w:val="0"/>
                <w:color w:val="000000"/>
                <w:kern w:val="0"/>
                <w:sz w:val="20"/>
                <w:szCs w:val="20"/>
                <w:u w:val="none"/>
                <w:lang w:val="en-US" w:eastAsia="zh-CN"/>
              </w:rPr>
              <w:t>对擅自将农民集体所有的土地使用权出让、转让或者出租用于非农业建设的行政处罚</w:t>
            </w:r>
          </w:p>
        </w:tc>
      </w:tr>
      <w:tr>
        <w:trPr>
          <w:trHeight w:val="405"/>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管辖范围</w:t>
            </w:r>
          </w:p>
        </w:tc>
        <w:tc>
          <w:tcPr>
            <w:tcW w:w="9263" w:type="dxa"/>
            <w:gridSpan w:val="8"/>
            <w:tcBorders>
              <w:tl2br w:val="nil"/>
              <w:tr2bl w:val="nil"/>
            </w:tcBorders>
            <w:shd w:val="clear" w:color="auto" w:fill="auto"/>
            <w:vAlign w:val="center"/>
          </w:tcPr>
          <w:p>
            <w:pPr>
              <w:keepNext w:val="0"/>
              <w:keepLines w:val="0"/>
              <w:widowControl/>
              <w:suppressLineNumbers w:val="0"/>
              <w:jc w:val="left"/>
              <w:textAlignment w:val="center"/>
              <w:rPr>
                <w:rFonts w:ascii="仿宋" w:eastAsia="仿宋" w:cs="仿宋" w:hAnsi="仿宋"/>
                <w:i w:val="0"/>
                <w:color w:val="000000"/>
                <w:kern w:val="2"/>
                <w:sz w:val="16"/>
                <w:szCs w:val="16"/>
                <w:u w:val="none"/>
                <w:lang w:val="en-US" w:eastAsia="zh-CN" w:bidi="ar-SA"/>
              </w:rPr>
            </w:pPr>
            <w:r>
              <w:rPr>
                <w:rFonts w:ascii="仿宋" w:eastAsia="仿宋" w:cs="仿宋" w:hAnsi="仿宋" w:hint="eastAsia"/>
                <w:i w:val="0"/>
                <w:color w:val="000000"/>
                <w:kern w:val="0"/>
                <w:sz w:val="20"/>
                <w:szCs w:val="20"/>
                <w:u w:val="none"/>
                <w:lang w:val="en-US" w:eastAsia="zh-CN"/>
              </w:rPr>
              <w:t>市级以上重点项目、跨乡镇区违法用地案件、黄金海岸北区由自然资源和规划局负责；其他区域由各乡镇（南区）政府负责</w:t>
            </w:r>
          </w:p>
        </w:tc>
      </w:tr>
      <w:tr>
        <w:trPr>
          <w:trHeight w:val="1997"/>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9263" w:type="dxa"/>
            <w:gridSpan w:val="8"/>
            <w:tcBorders>
              <w:tl2br w:val="nil"/>
              <w:tr2bl w:val="nil"/>
            </w:tcBorders>
            <w:shd w:val="clear" w:color="auto" w:fill="auto"/>
            <w:vAlign w:val="center"/>
          </w:tcPr>
          <w:p>
            <w:pPr>
              <w:widowControl w:val="0"/>
              <w:adjustRightInd/>
              <w:snapToGrid/>
              <w:spacing w:after="0" w:line="24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【法律法规】</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中华人民共和国土地管理法》第八十二条，擅自将农民集体所有的土地通过出让、转让使用权或者出租等方式用于非农业建设，或者违反本法规定，将集体经营性建设用地通过出让、出租等方式交由单位或者个人使用的，由县级以上人民政府自然资源主管部门责令限期改正，没收违法所得，并处罚款。</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《中华人民共和国土地管理法实施条例》（1998年12月国务院令第256号，2021年7月国务院令第743号第三次修订）第六十条</w:t>
            </w:r>
            <w:r>
              <w:rPr>
                <w:rFonts w:ascii="仿宋_GB2312" w:eastAsia="仿宋_GB2312" w:cs="黑体" w:hAnsi="Calibri" w:hint="eastAsia"/>
                <w:kern w:val="0"/>
                <w:sz w:val="18"/>
                <w:szCs w:val="18"/>
                <w:lang w:val="en-US" w:eastAsia="zh-CN"/>
              </w:rPr>
              <w:t>,</w:t>
            </w:r>
            <w:r>
              <w:rPr>
                <w:rFonts w:ascii="仿宋_GB2312" w:eastAsia="仿宋_GB2312" w:cs="黑体" w:hAnsi="Calibri" w:hint="eastAsia"/>
                <w:kern w:val="0"/>
                <w:sz w:val="18"/>
                <w:szCs w:val="18"/>
              </w:rPr>
              <w:t>依照《</w:t>
            </w:r>
            <w:r>
              <w:rPr>
                <w:rFonts w:ascii="仿宋_GB2312" w:eastAsia="仿宋_GB2312" w:cs="黑体" w:hAnsi="Calibri"/>
                <w:kern w:val="0"/>
                <w:sz w:val="18"/>
                <w:szCs w:val="18"/>
              </w:rPr>
              <w:t>中华人民共和国</w:t>
            </w:r>
            <w:bookmarkStart w:id="0" w:name="_GoBack"/>
            <w:bookmarkEnd w:id="0"/>
            <w:r>
              <w:rPr>
                <w:rFonts w:ascii="仿宋_GB2312" w:eastAsia="仿宋_GB2312" w:cs="黑体" w:hAnsi="Calibri" w:hint="eastAsia"/>
                <w:kern w:val="0"/>
                <w:sz w:val="18"/>
                <w:szCs w:val="18"/>
              </w:rPr>
              <w:t>土地管理法》第八十二条的规定处以罚款的，罚款额为违法所得的10%以上30%以下。</w:t>
            </w:r>
          </w:p>
          <w:p>
            <w:pPr>
              <w:widowControl w:val="0"/>
              <w:adjustRightInd/>
              <w:snapToGrid/>
              <w:spacing w:after="0" w:line="24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【三定规定】</w:t>
            </w:r>
          </w:p>
          <w:p>
            <w:pPr>
              <w:widowControl w:val="0"/>
              <w:adjustRightInd/>
              <w:snapToGrid/>
              <w:spacing w:after="0" w:line="240" w:lineRule="exact"/>
              <w:jc w:val="both"/>
              <w:rPr>
                <w:rFonts w:ascii="仿宋_GB2312" w:eastAsia="仿宋_GB2312" w:cs="黑体"/>
                <w:b/>
                <w:bCs/>
                <w:color w:val="000000"/>
                <w:szCs w:val="21"/>
              </w:rPr>
            </w:pPr>
            <w:r>
              <w:rPr>
                <w:rFonts w:ascii="仿宋_GB2312" w:eastAsia="仿宋_GB2312" w:cs="黑体" w:hAnsi="Calibri" w:hint="eastAsia"/>
                <w:kern w:val="0"/>
                <w:sz w:val="18"/>
                <w:szCs w:val="18"/>
              </w:rPr>
              <w:t>昌办字〔2019〕39号第（三十三）条。</w:t>
            </w:r>
          </w:p>
        </w:tc>
      </w:tr>
      <w:tr>
        <w:trPr>
          <w:trHeight w:val="225"/>
        </w:trPr>
        <w:tc>
          <w:tcPr>
            <w:tcW w:w="1392"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17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55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065"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471"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hRule="exact" w:val="691"/>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立案</w:t>
            </w:r>
          </w:p>
        </w:tc>
        <w:tc>
          <w:tcPr>
            <w:tcW w:w="5557" w:type="dxa"/>
            <w:gridSpan w:val="4"/>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经初步了解案件后，依法立案或不予立案（不予立案应当告知理由）</w:t>
            </w:r>
          </w:p>
        </w:tc>
        <w:tc>
          <w:tcPr>
            <w:tcW w:w="1065"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471" w:type="dxa"/>
            <w:tcBorders>
              <w:tl2br w:val="nil"/>
              <w:tr2bl w:val="nil"/>
            </w:tcBorders>
            <w:shd w:val="clear" w:color="auto" w:fill="auto"/>
            <w:vAlign w:val="center"/>
          </w:tcPr>
          <w:p>
            <w:pPr>
              <w:jc w:val="center"/>
              <w:rPr>
                <w:rFonts w:ascii="仿宋_GB2312" w:eastAsia="仿宋_GB2312" w:cs="黑体" w:hAnsi="黑体" w:hint="eastAsia"/>
                <w:color w:val="000000"/>
                <w:sz w:val="18"/>
                <w:szCs w:val="18"/>
              </w:rPr>
            </w:pPr>
            <w:r>
              <w:rPr>
                <w:rFonts w:ascii="仿宋_GB2312" w:eastAsia="仿宋_GB2312" w:cs="黑体" w:hAnsi="黑体" w:hint="eastAsia"/>
                <w:color w:val="000000"/>
                <w:sz w:val="18"/>
                <w:szCs w:val="18"/>
              </w:rPr>
              <w:t>执法监察大队、</w:t>
            </w:r>
          </w:p>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黄金海岸分局</w:t>
            </w:r>
          </w:p>
        </w:tc>
      </w:tr>
      <w:tr>
        <w:trPr>
          <w:trHeight w:hRule="exact" w:val="744"/>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调查取证</w:t>
            </w:r>
          </w:p>
        </w:tc>
        <w:tc>
          <w:tcPr>
            <w:tcW w:w="5557" w:type="dxa"/>
            <w:gridSpan w:val="4"/>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制作现场勘验笔录、调查询问笔录、搜集相关文件资料、现场拍照录像等</w:t>
            </w:r>
          </w:p>
        </w:tc>
        <w:tc>
          <w:tcPr>
            <w:tcW w:w="1065"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471" w:type="dxa"/>
            <w:tcBorders>
              <w:tl2br w:val="nil"/>
              <w:tr2bl w:val="nil"/>
            </w:tcBorders>
            <w:shd w:val="clear" w:color="auto" w:fill="auto"/>
          </w:tcPr>
          <w:p>
            <w:pPr>
              <w:rPr>
                <w:rFonts w:ascii="仿宋_GB2312" w:eastAsia="仿宋_GB2312" w:cs="黑体" w:hAnsi="黑体" w:hint="eastAsia"/>
                <w:color w:val="000000"/>
                <w:sz w:val="18"/>
                <w:szCs w:val="18"/>
              </w:rPr>
            </w:pPr>
            <w:r>
              <w:rPr>
                <w:rFonts w:ascii="仿宋_GB2312" w:eastAsia="仿宋_GB2312" w:cs="黑体" w:hAnsi="黑体" w:hint="eastAsia"/>
                <w:color w:val="000000"/>
                <w:sz w:val="18"/>
                <w:szCs w:val="18"/>
              </w:rPr>
              <w:t>执法监察大队、</w:t>
            </w:r>
          </w:p>
          <w:p>
            <w:r>
              <w:rPr>
                <w:rFonts w:ascii="仿宋_GB2312" w:eastAsia="仿宋_GB2312" w:cs="黑体" w:hAnsi="黑体" w:hint="eastAsia"/>
                <w:color w:val="000000"/>
                <w:sz w:val="18"/>
                <w:szCs w:val="18"/>
              </w:rPr>
              <w:t>黄金海岸分局</w:t>
            </w:r>
          </w:p>
        </w:tc>
      </w:tr>
      <w:tr>
        <w:trPr>
          <w:trHeight w:hRule="exact" w:val="723"/>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审查</w:t>
            </w:r>
          </w:p>
        </w:tc>
        <w:tc>
          <w:tcPr>
            <w:tcW w:w="5557" w:type="dxa"/>
            <w:gridSpan w:val="4"/>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执法主体是否合法、事实是否清楚、证据是否合法充分、适用法律是否准确、执法程序是否合法等</w:t>
            </w:r>
          </w:p>
        </w:tc>
        <w:tc>
          <w:tcPr>
            <w:tcW w:w="1065"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471" w:type="dxa"/>
            <w:tcBorders>
              <w:tl2br w:val="nil"/>
              <w:tr2bl w:val="nil"/>
            </w:tcBorders>
            <w:shd w:val="clear" w:color="auto" w:fill="auto"/>
          </w:tcPr>
          <w:p>
            <w:pPr>
              <w:rPr>
                <w:rFonts w:ascii="仿宋_GB2312" w:eastAsia="仿宋_GB2312" w:cs="黑体" w:hAnsi="黑体" w:hint="eastAsia"/>
                <w:color w:val="000000"/>
                <w:sz w:val="18"/>
                <w:szCs w:val="18"/>
              </w:rPr>
            </w:pPr>
            <w:r>
              <w:rPr>
                <w:rFonts w:ascii="仿宋_GB2312" w:eastAsia="仿宋_GB2312" w:cs="黑体" w:hAnsi="黑体" w:hint="eastAsia"/>
                <w:color w:val="000000"/>
                <w:sz w:val="18"/>
                <w:szCs w:val="18"/>
              </w:rPr>
              <w:t>执法监察大队、</w:t>
            </w:r>
          </w:p>
          <w:p>
            <w:r>
              <w:rPr>
                <w:rFonts w:ascii="仿宋_GB2312" w:eastAsia="仿宋_GB2312" w:cs="黑体" w:hAnsi="黑体" w:hint="eastAsia"/>
                <w:color w:val="000000"/>
                <w:sz w:val="18"/>
                <w:szCs w:val="18"/>
              </w:rPr>
              <w:t>黄金海岸分局</w:t>
            </w:r>
          </w:p>
        </w:tc>
      </w:tr>
      <w:tr>
        <w:trPr>
          <w:trHeight w:hRule="exact" w:val="783"/>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决定</w:t>
            </w:r>
          </w:p>
        </w:tc>
        <w:tc>
          <w:tcPr>
            <w:tcW w:w="5557" w:type="dxa"/>
            <w:gridSpan w:val="4"/>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制作事先告知书（听证告知书）、处罚决定书</w:t>
            </w:r>
          </w:p>
        </w:tc>
        <w:tc>
          <w:tcPr>
            <w:tcW w:w="1065"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471" w:type="dxa"/>
            <w:tcBorders>
              <w:tl2br w:val="nil"/>
              <w:tr2bl w:val="nil"/>
            </w:tcBorders>
            <w:shd w:val="clear" w:color="auto" w:fill="auto"/>
          </w:tcPr>
          <w:p>
            <w:pPr>
              <w:rPr>
                <w:rFonts w:ascii="仿宋_GB2312" w:eastAsia="仿宋_GB2312" w:cs="黑体" w:hAnsi="黑体" w:hint="eastAsia"/>
                <w:color w:val="000000"/>
                <w:sz w:val="18"/>
                <w:szCs w:val="18"/>
              </w:rPr>
            </w:pPr>
            <w:r>
              <w:rPr>
                <w:rFonts w:ascii="仿宋_GB2312" w:eastAsia="仿宋_GB2312" w:cs="黑体" w:hAnsi="黑体" w:hint="eastAsia"/>
                <w:color w:val="000000"/>
                <w:sz w:val="18"/>
                <w:szCs w:val="18"/>
              </w:rPr>
              <w:t>执法监察大队、</w:t>
            </w:r>
          </w:p>
          <w:p>
            <w:r>
              <w:rPr>
                <w:rFonts w:ascii="仿宋_GB2312" w:eastAsia="仿宋_GB2312" w:cs="黑体" w:hAnsi="黑体" w:hint="eastAsia"/>
                <w:color w:val="000000"/>
                <w:sz w:val="18"/>
                <w:szCs w:val="18"/>
              </w:rPr>
              <w:t>黄金海岸分局</w:t>
            </w:r>
          </w:p>
        </w:tc>
      </w:tr>
      <w:tr>
        <w:trPr>
          <w:trHeight w:hRule="exact" w:val="771"/>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送达</w:t>
            </w:r>
          </w:p>
        </w:tc>
        <w:tc>
          <w:tcPr>
            <w:tcW w:w="5557" w:type="dxa"/>
            <w:gridSpan w:val="4"/>
            <w:tcBorders>
              <w:tl2br w:val="nil"/>
              <w:tr2bl w:val="nil"/>
            </w:tcBorders>
            <w:shd w:val="clear" w:color="auto" w:fill="auto"/>
            <w:vAlign w:val="center"/>
          </w:tcPr>
          <w:p>
            <w:pPr>
              <w:rPr>
                <w:rFonts w:ascii="仿宋_GB2312" w:eastAsia="仿宋_GB2312" w:cs="黑体" w:hAnsi="黑体"/>
                <w:color w:val="000000"/>
                <w:szCs w:val="21"/>
              </w:rPr>
            </w:pPr>
            <w:r>
              <w:rPr>
                <w:rFonts w:ascii="仿宋_GB2312" w:eastAsia="仿宋_GB2312" w:cs="黑体" w:hAnsi="黑体" w:hint="eastAsia"/>
                <w:color w:val="000000"/>
                <w:sz w:val="18"/>
                <w:szCs w:val="18"/>
              </w:rPr>
              <w:t>送达相关文书，告知行政复议和行政诉讼等救济权利</w:t>
            </w:r>
          </w:p>
        </w:tc>
        <w:tc>
          <w:tcPr>
            <w:tcW w:w="1065"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471" w:type="dxa"/>
            <w:tcBorders>
              <w:tl2br w:val="nil"/>
              <w:tr2bl w:val="nil"/>
            </w:tcBorders>
            <w:shd w:val="clear" w:color="auto" w:fill="auto"/>
          </w:tcPr>
          <w:p>
            <w:pPr>
              <w:rPr>
                <w:rFonts w:ascii="仿宋_GB2312" w:eastAsia="仿宋_GB2312" w:cs="黑体" w:hAnsi="黑体" w:hint="eastAsia"/>
                <w:color w:val="000000"/>
                <w:sz w:val="18"/>
                <w:szCs w:val="18"/>
              </w:rPr>
            </w:pPr>
            <w:r>
              <w:rPr>
                <w:rFonts w:ascii="仿宋_GB2312" w:eastAsia="仿宋_GB2312" w:cs="黑体" w:hAnsi="黑体" w:hint="eastAsia"/>
                <w:color w:val="000000"/>
                <w:sz w:val="18"/>
                <w:szCs w:val="18"/>
              </w:rPr>
              <w:t>执法监察大队、</w:t>
            </w:r>
          </w:p>
          <w:p>
            <w:r>
              <w:rPr>
                <w:rFonts w:ascii="仿宋_GB2312" w:eastAsia="仿宋_GB2312" w:cs="黑体" w:hAnsi="黑体" w:hint="eastAsia"/>
                <w:color w:val="000000"/>
                <w:sz w:val="18"/>
                <w:szCs w:val="18"/>
              </w:rPr>
              <w:t>黄金海岸分局</w:t>
            </w:r>
          </w:p>
        </w:tc>
      </w:tr>
      <w:tr>
        <w:trPr>
          <w:trHeight w:val="3051"/>
        </w:trPr>
        <w:tc>
          <w:tcPr>
            <w:tcW w:w="1392"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因不履行或不正确履行行政职责，有下列情形的，行政机关及相关工作人员应承担相应责任：</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1、没有法律和事实依据实施行政处罚的；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2、擅自改变行政处罚种类、幅度的；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3、违反法定程序进行行政处罚的；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4、违反委托处罚规定的；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5、对违法行为未依法制止的；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6、应当依法立案查处，无正当理由未依法立案查处的；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7、在制止以及查处违法案件中受阻，依照有关规定应当向本级人民政府或者上级国土资源主管部门报告而未报告的；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8、符合听证条件、行政管理相对人要求听证，应予组织听证而不组织听证的。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9、应当依法进行行政处罚而未依法处罚的；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10、应当依法移送追究刑事责任，而未依法移送有权机关的；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11、在行政处罚过程中发生腐败行为的；</w:t>
            </w:r>
          </w:p>
          <w:p>
            <w:pPr>
              <w:keepNext w:val="0"/>
              <w:keepLines w:val="0"/>
              <w:widowControl/>
              <w:suppressLineNumbers w:val="0"/>
              <w:adjustRightInd/>
              <w:snapToGrid/>
              <w:spacing w:after="0" w:line="240" w:lineRule="auto"/>
              <w:jc w:val="left"/>
              <w:textAlignment w:val="center"/>
              <w:rPr>
                <w:rFonts w:ascii="仿宋" w:eastAsia="仿宋" w:cs="仿宋" w:hAnsi="仿宋"/>
                <w:i w:val="0"/>
                <w:color w:val="000000"/>
                <w:kern w:val="2"/>
                <w:sz w:val="16"/>
                <w:szCs w:val="16"/>
                <w:u w:val="none"/>
                <w:lang w:val="en-US" w:eastAsia="zh-CN" w:bidi="ar-SA"/>
              </w:rPr>
            </w:pPr>
            <w:r>
              <w:rPr>
                <w:rFonts w:ascii="仿宋" w:eastAsia="仿宋" w:cs="仿宋" w:hAnsi="仿宋" w:hint="eastAsia"/>
                <w:i w:val="0"/>
                <w:color w:val="000000"/>
                <w:kern w:val="0"/>
                <w:sz w:val="16"/>
                <w:szCs w:val="16"/>
                <w:u w:val="none"/>
                <w:lang w:val="en-US" w:eastAsia="zh-CN"/>
              </w:rPr>
              <w:t>12、其他违反法律法规规章文件规定的行为。</w:t>
            </w:r>
          </w:p>
        </w:tc>
      </w:tr>
      <w:tr>
        <w:trPr>
          <w:trHeight w:val="636"/>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9263"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1.业务咨询：0335-2861320</w:t>
              <w:br/>
              <w:t>2.投诉举报电话：0335-2022626</w:t>
            </w:r>
          </w:p>
          <w:p>
            <w:pPr>
              <w:widowControl/>
              <w:adjustRightInd/>
              <w:snapToGrid/>
              <w:spacing w:after="0" w:line="240" w:lineRule="exact"/>
              <w:jc w:val="left"/>
              <w:textAlignment w:val="center"/>
              <w:rPr>
                <w:rFonts w:ascii="黑体" w:eastAsia="黑体" w:cs="黑体"/>
                <w:color w:val="000000"/>
                <w:sz w:val="24"/>
              </w:rPr>
            </w:pPr>
            <w:r>
              <w:rPr>
                <w:rFonts w:ascii="仿宋_GB2312" w:eastAsia="仿宋_GB2312" w:cs="黑体" w:hAnsi="黑体" w:hint="eastAsia"/>
                <w:color w:val="000000"/>
                <w:kern w:val="0"/>
                <w:sz w:val="18"/>
                <w:szCs w:val="18"/>
              </w:rPr>
              <w:t>3.纪检监察投诉：县纪委第四派驻纪检监察组，电话：0335-2608801</w:t>
            </w:r>
          </w:p>
        </w:tc>
      </w:tr>
      <w:tr>
        <w:trPr>
          <w:trHeight w:val="786"/>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9263" w:type="dxa"/>
            <w:gridSpan w:val="8"/>
            <w:tcBorders>
              <w:tl2br w:val="nil"/>
              <w:tr2bl w:val="nil"/>
            </w:tcBorders>
            <w:shd w:val="clear" w:color="auto" w:fill="auto"/>
            <w:vAlign w:val="center"/>
          </w:tcPr>
          <w:p>
            <w:pPr>
              <w:widowControl/>
              <w:adjustRightInd/>
              <w:snapToGrid/>
              <w:spacing w:after="0" w:line="240" w:lineRule="auto"/>
              <w:jc w:val="left"/>
              <w:textAlignment w:val="center"/>
              <w:rPr>
                <w:rFonts w:ascii="仿宋_GB2312" w:eastAsia="仿宋_GB2312" w:cs="仿宋_GB2312" w:hAnsi="Calibri" w:hint="eastAsia"/>
                <w:color w:val="000000"/>
                <w:kern w:val="0"/>
                <w:sz w:val="18"/>
                <w:szCs w:val="18"/>
              </w:rPr>
            </w:pPr>
            <w:r>
              <w:rPr>
                <w:rFonts w:ascii="仿宋_GB2312" w:eastAsia="仿宋_GB2312" w:cs="仿宋_GB2312" w:hAnsi="Calibri" w:hint="eastAsia"/>
                <w:color w:val="000000"/>
                <w:kern w:val="0"/>
                <w:sz w:val="18"/>
                <w:szCs w:val="18"/>
              </w:rPr>
              <w:t>1．不服许可决定自知道该具体行政行为之日起六十日内向</w:t>
            </w:r>
            <w:r>
              <w:rPr>
                <w:rFonts w:ascii="仿宋_GB2312" w:eastAsia="仿宋_GB2312" w:cs="仿宋_GB2312" w:hAnsi="Calibri" w:hint="eastAsia"/>
                <w:color w:val="000000"/>
                <w:kern w:val="0"/>
                <w:sz w:val="18"/>
                <w:szCs w:val="18"/>
                <w:lang w:eastAsia="zh-CN"/>
              </w:rPr>
              <w:t>县</w:t>
            </w:r>
            <w:r>
              <w:rPr>
                <w:rFonts w:ascii="仿宋_GB2312" w:eastAsia="仿宋_GB2312" w:cs="仿宋_GB2312" w:hAnsi="Calibri" w:hint="eastAsia"/>
                <w:color w:val="000000"/>
                <w:kern w:val="0"/>
                <w:sz w:val="18"/>
                <w:szCs w:val="18"/>
              </w:rPr>
              <w:t>政府申请行政复议。</w:t>
            </w:r>
          </w:p>
          <w:p>
            <w:pPr>
              <w:widowControl/>
              <w:adjustRightInd/>
              <w:snapToGrid/>
              <w:spacing w:after="0" w:line="240" w:lineRule="auto"/>
              <w:jc w:val="left"/>
              <w:textAlignment w:val="center"/>
              <w:rPr>
                <w:rFonts w:ascii="黑体" w:eastAsia="黑体" w:cs="黑体"/>
                <w:b/>
                <w:bCs/>
                <w:color w:val="000000"/>
                <w:szCs w:val="21"/>
              </w:rPr>
            </w:pPr>
            <w:r>
              <w:rPr>
                <w:rFonts w:ascii="仿宋_GB2312" w:eastAsia="仿宋_GB2312" w:cs="仿宋_GB2312" w:hAnsi="Calibri" w:hint="eastAsia"/>
                <w:color w:val="000000"/>
                <w:kern w:val="0"/>
                <w:sz w:val="18"/>
                <w:szCs w:val="18"/>
              </w:rPr>
              <w:t>2．不服许可决定应当自知道或者应当知道作出行政行为之日起六个月内提出向</w:t>
            </w:r>
            <w:r>
              <w:rPr>
                <w:rFonts w:ascii="仿宋_GB2312" w:eastAsia="仿宋_GB2312" w:cs="仿宋_GB2312" w:hAnsi="Calibri" w:hint="eastAsia"/>
                <w:color w:val="000000"/>
                <w:kern w:val="0"/>
                <w:sz w:val="18"/>
                <w:szCs w:val="18"/>
                <w:lang w:eastAsia="zh-CN"/>
              </w:rPr>
              <w:t>昌黎县</w:t>
            </w:r>
            <w:r>
              <w:rPr>
                <w:rFonts w:ascii="仿宋_GB2312" w:eastAsia="仿宋_GB2312" w:cs="仿宋_GB2312" w:hAnsi="Calibri" w:hint="eastAsia"/>
                <w:color w:val="000000"/>
                <w:kern w:val="0"/>
                <w:sz w:val="18"/>
                <w:szCs w:val="18"/>
              </w:rPr>
              <w:t>人民法院提起行政诉讼。</w:t>
            </w:r>
          </w:p>
        </w:tc>
      </w:tr>
      <w:tr>
        <w:trPr>
          <w:trHeight w:val="228"/>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9263"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220" w:lineRule="atLeast"/>
      </w:pPr>
    </w:p>
    <w:sectPr>
      <w:pgSz w:w="11906" w:h="16838"/>
      <w:pgMar w:top="720" w:right="720" w:bottom="720" w:left="720" w:header="708" w:footer="708" w:gutter="0"/>
      <w:cols w:num="1" w:space="708"/>
      <w:docGrid w:linePitch="360"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script"/>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080E0000" w:usb2="00000000" w:usb3="00000000" w:csb0="00040001" w:csb1="00000000"/>
  </w:font>
  <w:font w:name="仿宋">
    <w:panose1 w:val="02010609060101010101"/>
    <w:charset w:val="86"/>
    <w:family w:val="auto"/>
    <w:pitch w:val="variable"/>
    <w:sig w:usb0="800002BF" w:usb1="38CF7CFA" w:usb2="00000016" w:usb3="00000000" w:csb0="00040001" w:csb1="00000000"/>
  </w:font>
  <w:font w:name="Calibri">
    <w:panose1 w:val="020F0502020204030204"/>
    <w:charset w:val="00"/>
    <w:family w:val="swiss"/>
    <w:pitch w:val="variable"/>
    <w:sig w:usb0="E00002FF" w:usb1="4000ACFF" w:usb2="00000001" w:usb3="00000000" w:csb0="2000019F"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Tahoma">
    <w:panose1 w:val="020B0604030504040204"/>
    <w:charset w:val="00"/>
    <w:family w:val="swiss"/>
    <w:pitch w:val="variable"/>
    <w:sig w:usb0="E1002EFF" w:usb1="C000605B" w:usb2="00000029" w:usb3="00000000" w:csb0="200101FF" w:csb1="20280000"/>
  </w:font>
  <w:font w:name="微软雅黑">
    <w:panose1 w:val="020B0503020204020204"/>
    <w:charset w:val="86"/>
    <w:family w:val="swiss"/>
    <w:pitch w:val="variable"/>
    <w:sig w:usb0="80000287" w:usb1="280F3C52" w:usb2="00000016" w:usb3="00000000" w:csb0="0004001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720"/>
  <w:drawingGridHorizontalSpacing w:val="110"/>
  <w:drawingGridVerticalSpacing w:val="156"/>
  <w:displayHorizontalDrawingGridEvery w:val="0"/>
  <w:displayVerticalDrawingGridEvery w:val="1"/>
  <w:compat>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adjustRightInd w:val="0"/>
      <w:snapToGrid w:val="0"/>
      <w:spacing w:after="200" w:line="240" w:lineRule="auto"/>
    </w:pPr>
    <w:rPr>
      <w:rFonts w:ascii="Tahoma" w:eastAsia="微软雅黑" w:cs="Arial" w:hAnsi="Tahoma"/>
      <w:sz w:val="22"/>
      <w:szCs w:val="22"/>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B3B3CDD9-4D22-4ECB-B8B6-4FB01FEE6DAF}">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15</TotalTime>
  <Application>Yozo_Office27021597764231179</Application>
  <Pages>1</Pages>
  <Words>0</Words>
  <Characters>930</Characters>
  <Lines>0</Lines>
  <Paragraphs>3</Paragraphs>
  <CharactersWithSpaces>1241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hp</cp:lastModifiedBy>
  <cp:revision>0</cp:revision>
  <dcterms:created xsi:type="dcterms:W3CDTF">2008-09-11T17:20:00Z</dcterms:created>
  <dcterms:modified xsi:type="dcterms:W3CDTF">2024-09-27T07:33:09Z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4A6900C3321F4AFAB366F7A0436DB326_12</vt:lpwstr>
  </property>
</Properties>
</file>