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hint="eastAsia" w:ascii="方正小标宋简体" w:eastAsia="方正小标宋简体" w:cs="方正小标宋简体"/>
          <w:color w:val="000000"/>
          <w:kern w:val="0"/>
          <w:sz w:val="32"/>
          <w:szCs w:val="32"/>
        </w:rPr>
        <w:t>履职行权规程</w:t>
      </w:r>
    </w:p>
    <w:tbl>
      <w:tblPr>
        <w:tblStyle w:val="2"/>
        <w:tblW w:w="106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17" w:hRule="exact"/>
          <w:jc w:val="center"/>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870" w:type="dxa"/>
            <w:gridSpan w:val="2"/>
            <w:tcBorders>
              <w:tl2br w:val="nil"/>
              <w:tr2bl w:val="nil"/>
            </w:tcBorders>
            <w:shd w:val="clear" w:color="auto" w:fill="auto"/>
            <w:vAlign w:val="center"/>
          </w:tcPr>
          <w:p>
            <w:pPr>
              <w:jc w:val="center"/>
              <w:rPr>
                <w:rFonts w:hint="default" w:ascii="黑体" w:eastAsia="黑体" w:cs="黑体"/>
                <w:b/>
                <w:bCs/>
                <w:color w:val="000000"/>
                <w:szCs w:val="21"/>
                <w:lang w:val="en-US" w:eastAsia="zh-CN"/>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行政处罚</w:t>
            </w:r>
          </w:p>
        </w:tc>
        <w:tc>
          <w:tcPr>
            <w:tcW w:w="1418"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232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昌黎县自然资源和规划局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17" w:hRule="exact"/>
          <w:jc w:val="center"/>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9263" w:type="dxa"/>
            <w:gridSpan w:val="8"/>
            <w:tcBorders>
              <w:tl2br w:val="nil"/>
              <w:tr2bl w:val="nil"/>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color w:val="000000"/>
                <w:kern w:val="2"/>
                <w:sz w:val="20"/>
                <w:szCs w:val="20"/>
                <w:u w:val="none"/>
                <w:lang w:val="en-US" w:eastAsia="zh-CN" w:bidi="ar-SA"/>
              </w:rPr>
            </w:pPr>
            <w:r>
              <w:rPr>
                <w:rFonts w:hint="default" w:ascii="仿宋_GB2312" w:hAnsi="宋体" w:eastAsia="仿宋_GB2312" w:cs="仿宋_GB2312"/>
                <w:i w:val="0"/>
                <w:color w:val="000000"/>
                <w:kern w:val="0"/>
                <w:sz w:val="20"/>
                <w:szCs w:val="20"/>
                <w:u w:val="none"/>
                <w:lang w:val="en-US" w:eastAsia="zh-CN" w:bidi="ar"/>
              </w:rPr>
              <w:t>对转让房地产时，不符合法律规定的条件，非法转让以出让方式取得的土地使用权的行政处罚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3" w:hRule="exact"/>
          <w:jc w:val="center"/>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管辖范围</w:t>
            </w:r>
          </w:p>
        </w:tc>
        <w:tc>
          <w:tcPr>
            <w:tcW w:w="9263" w:type="dxa"/>
            <w:gridSpan w:val="8"/>
            <w:tcBorders>
              <w:tl2br w:val="nil"/>
              <w:tr2bl w:val="nil"/>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color w:val="000000"/>
                <w:kern w:val="2"/>
                <w:sz w:val="16"/>
                <w:szCs w:val="16"/>
                <w:u w:val="none"/>
                <w:lang w:val="en-US" w:eastAsia="zh-CN" w:bidi="ar-SA"/>
              </w:rPr>
            </w:pPr>
            <w:r>
              <w:rPr>
                <w:rFonts w:hint="eastAsia" w:ascii="仿宋" w:hAnsi="仿宋" w:eastAsia="仿宋" w:cs="仿宋"/>
                <w:i w:val="0"/>
                <w:color w:val="000000"/>
                <w:kern w:val="0"/>
                <w:sz w:val="20"/>
                <w:szCs w:val="20"/>
                <w:u w:val="none"/>
                <w:lang w:val="en-US" w:eastAsia="zh-CN" w:bidi="ar"/>
              </w:rPr>
              <w:t>昌黎县自然资源和规划局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997" w:hRule="atLeast"/>
          <w:jc w:val="center"/>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9263" w:type="dxa"/>
            <w:gridSpan w:val="8"/>
            <w:tcBorders>
              <w:tl2br w:val="nil"/>
              <w:tr2bl w:val="nil"/>
            </w:tcBorders>
            <w:shd w:val="clear" w:color="auto" w:fill="auto"/>
            <w:vAlign w:val="center"/>
          </w:tcPr>
          <w:p>
            <w:pPr>
              <w:widowControl w:val="0"/>
              <w:adjustRightInd/>
              <w:snapToGrid/>
              <w:spacing w:after="0" w:line="240" w:lineRule="exact"/>
              <w:jc w:val="both"/>
              <w:rPr>
                <w:rFonts w:hint="eastAsia" w:ascii="黑体" w:hAnsi="黑体" w:eastAsia="黑体" w:cs="仿宋_GB2312"/>
                <w:kern w:val="0"/>
                <w:sz w:val="18"/>
                <w:szCs w:val="18"/>
                <w:lang w:val="en-US" w:eastAsia="zh-CN"/>
              </w:rPr>
            </w:pPr>
            <w:r>
              <w:rPr>
                <w:rFonts w:hint="eastAsia" w:ascii="黑体" w:hAnsi="黑体" w:eastAsia="黑体" w:cs="仿宋_GB2312"/>
                <w:kern w:val="0"/>
                <w:sz w:val="18"/>
                <w:szCs w:val="18"/>
                <w:lang w:val="en-US" w:eastAsia="zh-CN"/>
              </w:rPr>
              <w:t>【法律法规】</w:t>
            </w:r>
          </w:p>
          <w:p>
            <w:pPr>
              <w:widowControl w:val="0"/>
              <w:adjustRightInd/>
              <w:snapToGrid/>
              <w:spacing w:after="0" w:line="240" w:lineRule="exact"/>
              <w:jc w:val="both"/>
              <w:rPr>
                <w:rFonts w:hint="eastAsia" w:ascii="仿宋_GB2312" w:hAnsi="Calibri" w:eastAsia="仿宋_GB2312" w:cs="黑体"/>
                <w:color w:val="auto"/>
                <w:kern w:val="0"/>
                <w:sz w:val="15"/>
                <w:szCs w:val="15"/>
                <w:lang w:val="en-US" w:eastAsia="zh-CN"/>
              </w:rPr>
            </w:pPr>
            <w:r>
              <w:rPr>
                <w:rFonts w:hint="eastAsia" w:ascii="仿宋_GB2312" w:hAnsi="Calibri" w:eastAsia="仿宋_GB2312" w:cs="黑体"/>
                <w:color w:val="auto"/>
                <w:kern w:val="0"/>
                <w:sz w:val="15"/>
                <w:szCs w:val="15"/>
                <w:lang w:val="en-US" w:eastAsia="zh-CN"/>
              </w:rPr>
              <w:t>《中华人民共和国城市房地产管理法》（1994年7月通过，2019年8月修正）第三十八条：“下列房地产，不得转让：（一）以出让方式取得土地使用权的，不符合本法第三十九条规定的条件的；（二）司法机关和行政机关依法裁定、决定查封或者以其他形式限制房地产权利的；（三）依法收回土地使用权的；（四）共有房地产，未经其他共有人书面同意的；（五）权属有争议的；（六）未依法登记领取权属证</w:t>
            </w:r>
          </w:p>
          <w:p>
            <w:pPr>
              <w:widowControl w:val="0"/>
              <w:adjustRightInd/>
              <w:snapToGrid/>
              <w:spacing w:after="0" w:line="240" w:lineRule="exact"/>
              <w:jc w:val="both"/>
              <w:rPr>
                <w:rFonts w:hint="eastAsia" w:ascii="仿宋_GB2312" w:hAnsi="Calibri" w:eastAsia="仿宋_GB2312" w:cs="黑体"/>
                <w:color w:val="auto"/>
                <w:kern w:val="0"/>
                <w:sz w:val="15"/>
                <w:szCs w:val="15"/>
                <w:lang w:val="en-US" w:eastAsia="zh-CN"/>
              </w:rPr>
            </w:pPr>
            <w:r>
              <w:rPr>
                <w:rFonts w:hint="eastAsia" w:ascii="仿宋_GB2312" w:hAnsi="Calibri" w:eastAsia="仿宋_GB2312" w:cs="黑体"/>
                <w:color w:val="auto"/>
                <w:kern w:val="0"/>
                <w:sz w:val="15"/>
                <w:szCs w:val="15"/>
                <w:lang w:val="en-US" w:eastAsia="zh-CN"/>
              </w:rPr>
              <w:t>的；（七）法律、行政法规规定禁止转让的其他情形。”第三十九条：“以出让方式取得土地使用权的，转让房地产时，应当符合下列条件：（一）按照出让合同约定已经支付全部土地使用权出让金，并取得土地使用权证书；（二）按照出让合同约定进行投资开发，属于房屋建设工程的，完成开发投资总额的百分之二十五以上，属于成片开发土地的，形成工业用地或者其他建设用地条件。转让房地产时房屋已经建成的，还应当持有房屋所有权证书。”第六十六条：“违反本法第三十九条第一款的规定转让土地使用权的，由县级以上人民政府土地管理部门没收违法所得，可以并处罚款。”《城市房地产开发经营管理条例》（1998年7月国务院令第248号，2020年11月国务院令第732号修订）第三十五条：“违反本条例规定，擅自转让房地产开发项目的，由县级以上人民政府负责土地管理工作的部门责令停止违法行为，没收违法所得，可以并处违法所得5倍以下的罚款。”</w:t>
            </w:r>
          </w:p>
          <w:p>
            <w:pPr>
              <w:widowControl w:val="0"/>
              <w:adjustRightInd/>
              <w:snapToGrid/>
              <w:spacing w:after="0" w:line="240" w:lineRule="exact"/>
              <w:jc w:val="both"/>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【三定规定】</w:t>
            </w:r>
          </w:p>
          <w:p>
            <w:pPr>
              <w:keepNext w:val="0"/>
              <w:keepLines w:val="0"/>
              <w:widowControl/>
              <w:suppressLineNumbers w:val="0"/>
              <w:adjustRightInd/>
              <w:snapToGrid/>
              <w:spacing w:after="0" w:line="240" w:lineRule="auto"/>
              <w:jc w:val="both"/>
              <w:textAlignment w:val="center"/>
              <w:rPr>
                <w:rFonts w:ascii="仿宋_GB2312" w:eastAsia="仿宋_GB2312" w:cs="黑体"/>
                <w:b/>
                <w:bCs/>
                <w:color w:val="000000"/>
                <w:szCs w:val="21"/>
              </w:rPr>
            </w:pPr>
            <w:r>
              <w:rPr>
                <w:rFonts w:hint="eastAsia" w:ascii="仿宋" w:hAnsi="仿宋" w:eastAsia="仿宋" w:cs="仿宋"/>
                <w:i w:val="0"/>
                <w:color w:val="000000"/>
                <w:kern w:val="0"/>
                <w:sz w:val="15"/>
                <w:szCs w:val="15"/>
                <w:u w:val="none"/>
                <w:lang w:val="en-US" w:eastAsia="zh-CN" w:bidi="ar"/>
              </w:rPr>
              <w:t>昌办字〔2019〕39号第（三十三）条。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5" w:hRule="atLeast"/>
          <w:jc w:val="center"/>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81" w:hRule="exact"/>
          <w:jc w:val="center"/>
        </w:trPr>
        <w:tc>
          <w:tcPr>
            <w:tcW w:w="1392" w:type="dxa"/>
            <w:vMerge w:val="continue"/>
            <w:tcBorders>
              <w:tl2br w:val="nil"/>
              <w:tr2bl w:val="nil"/>
            </w:tcBorders>
            <w:shd w:val="clear" w:color="auto" w:fill="auto"/>
            <w:vAlign w:val="center"/>
          </w:tcPr>
          <w:p/>
        </w:tc>
        <w:tc>
          <w:tcPr>
            <w:tcW w:w="117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立案</w:t>
            </w:r>
          </w:p>
        </w:tc>
        <w:tc>
          <w:tcPr>
            <w:tcW w:w="555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471" w:type="dxa"/>
            <w:tcBorders>
              <w:tl2br w:val="nil"/>
              <w:tr2bl w:val="nil"/>
            </w:tcBorders>
            <w:shd w:val="clear" w:color="auto" w:fill="auto"/>
            <w:vAlign w:val="center"/>
          </w:tcPr>
          <w:p>
            <w:pPr>
              <w:jc w:val="center"/>
              <w:rPr>
                <w:rFonts w:hint="eastAsia" w:ascii="仿宋_GB2312" w:hAnsi="黑体" w:eastAsia="仿宋_GB2312" w:cs="黑体"/>
                <w:color w:val="000000"/>
                <w:sz w:val="18"/>
                <w:szCs w:val="18"/>
              </w:rPr>
            </w:pPr>
            <w:r>
              <w:rPr>
                <w:rFonts w:hint="eastAsia" w:ascii="仿宋_GB2312" w:hAnsi="黑体" w:eastAsia="仿宋_GB2312" w:cs="黑体"/>
                <w:color w:val="000000"/>
                <w:sz w:val="18"/>
                <w:szCs w:val="18"/>
              </w:rPr>
              <w:t>执法监察大队、</w:t>
            </w:r>
          </w:p>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黄金海岸分局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94" w:hRule="exact"/>
          <w:jc w:val="center"/>
        </w:trPr>
        <w:tc>
          <w:tcPr>
            <w:tcW w:w="1392" w:type="dxa"/>
            <w:vMerge w:val="continue"/>
            <w:tcBorders>
              <w:tl2br w:val="nil"/>
              <w:tr2bl w:val="nil"/>
            </w:tcBorders>
            <w:shd w:val="clear" w:color="auto" w:fill="auto"/>
            <w:vAlign w:val="center"/>
          </w:tcPr>
          <w:p/>
        </w:tc>
        <w:tc>
          <w:tcPr>
            <w:tcW w:w="117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调查取证</w:t>
            </w:r>
          </w:p>
        </w:tc>
        <w:tc>
          <w:tcPr>
            <w:tcW w:w="555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471" w:type="dxa"/>
            <w:tcBorders>
              <w:tl2br w:val="nil"/>
              <w:tr2bl w:val="nil"/>
            </w:tcBorders>
            <w:shd w:val="clear" w:color="auto" w:fill="auto"/>
          </w:tcPr>
          <w:p>
            <w:pPr>
              <w:rPr>
                <w:rFonts w:hint="eastAsia" w:ascii="仿宋_GB2312" w:hAnsi="黑体" w:eastAsia="仿宋_GB2312" w:cs="黑体"/>
                <w:color w:val="000000"/>
                <w:sz w:val="18"/>
                <w:szCs w:val="18"/>
              </w:rPr>
            </w:pPr>
            <w:r>
              <w:rPr>
                <w:rFonts w:hint="eastAsia" w:ascii="仿宋_GB2312" w:hAnsi="黑体" w:eastAsia="仿宋_GB2312" w:cs="黑体"/>
                <w:color w:val="000000"/>
                <w:sz w:val="18"/>
                <w:szCs w:val="18"/>
              </w:rPr>
              <w:t>执法监察大队、</w:t>
            </w:r>
          </w:p>
          <w:p>
            <w:r>
              <w:rPr>
                <w:rFonts w:hint="eastAsia" w:ascii="仿宋_GB2312" w:hAnsi="黑体" w:eastAsia="仿宋_GB2312" w:cs="黑体"/>
                <w:color w:val="000000"/>
                <w:sz w:val="18"/>
                <w:szCs w:val="18"/>
              </w:rPr>
              <w:t>黄金海岸分局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99" w:hRule="exact"/>
          <w:jc w:val="center"/>
        </w:trPr>
        <w:tc>
          <w:tcPr>
            <w:tcW w:w="1392" w:type="dxa"/>
            <w:vMerge w:val="continue"/>
            <w:tcBorders>
              <w:tl2br w:val="nil"/>
              <w:tr2bl w:val="nil"/>
            </w:tcBorders>
            <w:shd w:val="clear" w:color="auto" w:fill="auto"/>
            <w:vAlign w:val="center"/>
          </w:tcPr>
          <w:p/>
        </w:tc>
        <w:tc>
          <w:tcPr>
            <w:tcW w:w="117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审查</w:t>
            </w:r>
          </w:p>
        </w:tc>
        <w:tc>
          <w:tcPr>
            <w:tcW w:w="555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471" w:type="dxa"/>
            <w:tcBorders>
              <w:tl2br w:val="nil"/>
              <w:tr2bl w:val="nil"/>
            </w:tcBorders>
            <w:shd w:val="clear" w:color="auto" w:fill="auto"/>
          </w:tcPr>
          <w:p>
            <w:pPr>
              <w:rPr>
                <w:rFonts w:hint="eastAsia" w:ascii="仿宋_GB2312" w:hAnsi="黑体" w:eastAsia="仿宋_GB2312" w:cs="黑体"/>
                <w:color w:val="000000"/>
                <w:sz w:val="18"/>
                <w:szCs w:val="18"/>
              </w:rPr>
            </w:pPr>
            <w:r>
              <w:rPr>
                <w:rFonts w:hint="eastAsia" w:ascii="仿宋_GB2312" w:hAnsi="黑体" w:eastAsia="仿宋_GB2312" w:cs="黑体"/>
                <w:color w:val="000000"/>
                <w:sz w:val="18"/>
                <w:szCs w:val="18"/>
              </w:rPr>
              <w:t>执法监察大队、</w:t>
            </w:r>
          </w:p>
          <w:p>
            <w:r>
              <w:rPr>
                <w:rFonts w:hint="eastAsia" w:ascii="仿宋_GB2312" w:hAnsi="黑体" w:eastAsia="仿宋_GB2312" w:cs="黑体"/>
                <w:color w:val="000000"/>
                <w:sz w:val="18"/>
                <w:szCs w:val="18"/>
              </w:rPr>
              <w:t>黄金海岸分局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33" w:hRule="exact"/>
          <w:jc w:val="center"/>
        </w:trPr>
        <w:tc>
          <w:tcPr>
            <w:tcW w:w="1392" w:type="dxa"/>
            <w:vMerge w:val="continue"/>
            <w:tcBorders>
              <w:tl2br w:val="nil"/>
              <w:tr2bl w:val="nil"/>
            </w:tcBorders>
            <w:shd w:val="clear" w:color="auto" w:fill="auto"/>
            <w:vAlign w:val="center"/>
          </w:tcPr>
          <w:p/>
        </w:tc>
        <w:tc>
          <w:tcPr>
            <w:tcW w:w="117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决定</w:t>
            </w:r>
          </w:p>
        </w:tc>
        <w:tc>
          <w:tcPr>
            <w:tcW w:w="5557" w:type="dxa"/>
            <w:gridSpan w:val="4"/>
            <w:tcBorders>
              <w:tl2br w:val="nil"/>
              <w:tr2bl w:val="nil"/>
            </w:tcBorders>
            <w:shd w:val="clear" w:color="auto" w:fill="auto"/>
            <w:vAlign w:val="center"/>
          </w:tcPr>
          <w:p>
            <w:pPr>
              <w:rPr>
                <w:rFonts w:ascii="仿宋_GB2312" w:hAnsi="黑体" w:eastAsia="仿宋_GB2312" w:cs="黑体"/>
                <w:color w:val="000000"/>
                <w:sz w:val="18"/>
                <w:szCs w:val="18"/>
              </w:rPr>
            </w:pPr>
            <w:r>
              <w:rPr>
                <w:rFonts w:hint="eastAsia" w:ascii="仿宋_GB2312" w:hAnsi="黑体" w:eastAsia="仿宋_GB2312" w:cs="黑体"/>
                <w:color w:val="000000"/>
                <w:sz w:val="18"/>
                <w:szCs w:val="18"/>
              </w:rPr>
              <w:t>制作事先告知书（听证告知书）、处罚决定书</w:t>
            </w:r>
          </w:p>
        </w:tc>
        <w:tc>
          <w:tcPr>
            <w:tcW w:w="1065"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471" w:type="dxa"/>
            <w:tcBorders>
              <w:tl2br w:val="nil"/>
              <w:tr2bl w:val="nil"/>
            </w:tcBorders>
            <w:shd w:val="clear" w:color="auto" w:fill="auto"/>
          </w:tcPr>
          <w:p>
            <w:pPr>
              <w:rPr>
                <w:rFonts w:hint="eastAsia" w:ascii="仿宋_GB2312" w:hAnsi="黑体" w:eastAsia="仿宋_GB2312" w:cs="黑体"/>
                <w:color w:val="000000"/>
                <w:sz w:val="18"/>
                <w:szCs w:val="18"/>
              </w:rPr>
            </w:pPr>
            <w:r>
              <w:rPr>
                <w:rFonts w:hint="eastAsia" w:ascii="仿宋_GB2312" w:hAnsi="黑体" w:eastAsia="仿宋_GB2312" w:cs="黑体"/>
                <w:color w:val="000000"/>
                <w:sz w:val="18"/>
                <w:szCs w:val="18"/>
              </w:rPr>
              <w:t>执法监察大队、</w:t>
            </w:r>
          </w:p>
          <w:p>
            <w:r>
              <w:rPr>
                <w:rFonts w:hint="eastAsia" w:ascii="仿宋_GB2312" w:hAnsi="黑体" w:eastAsia="仿宋_GB2312" w:cs="黑体"/>
                <w:color w:val="000000"/>
                <w:sz w:val="18"/>
                <w:szCs w:val="18"/>
              </w:rPr>
              <w:t>黄金海岸分局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24" w:hRule="exact"/>
          <w:jc w:val="center"/>
        </w:trPr>
        <w:tc>
          <w:tcPr>
            <w:tcW w:w="1392" w:type="dxa"/>
            <w:vMerge w:val="continue"/>
            <w:tcBorders>
              <w:tl2br w:val="nil"/>
              <w:tr2bl w:val="nil"/>
            </w:tcBorders>
            <w:shd w:val="clear" w:color="auto" w:fill="auto"/>
            <w:vAlign w:val="center"/>
          </w:tcPr>
          <w:p/>
        </w:tc>
        <w:tc>
          <w:tcPr>
            <w:tcW w:w="117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送达</w:t>
            </w:r>
          </w:p>
        </w:tc>
        <w:tc>
          <w:tcPr>
            <w:tcW w:w="5557" w:type="dxa"/>
            <w:gridSpan w:val="4"/>
            <w:tcBorders>
              <w:tl2br w:val="nil"/>
              <w:tr2bl w:val="nil"/>
            </w:tcBorders>
            <w:shd w:val="clear" w:color="auto" w:fill="auto"/>
            <w:vAlign w:val="center"/>
          </w:tcPr>
          <w:p>
            <w:pPr>
              <w:rPr>
                <w:rFonts w:ascii="仿宋_GB2312" w:hAnsi="黑体" w:eastAsia="仿宋_GB2312" w:cs="黑体"/>
                <w:color w:val="000000"/>
                <w:szCs w:val="21"/>
              </w:rPr>
            </w:pPr>
            <w:r>
              <w:rPr>
                <w:rFonts w:hint="eastAsia" w:ascii="仿宋_GB2312" w:hAnsi="黑体" w:eastAsia="仿宋_GB2312" w:cs="黑体"/>
                <w:color w:val="000000"/>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1471" w:type="dxa"/>
            <w:tcBorders>
              <w:tl2br w:val="nil"/>
              <w:tr2bl w:val="nil"/>
            </w:tcBorders>
            <w:shd w:val="clear" w:color="auto" w:fill="auto"/>
          </w:tcPr>
          <w:p>
            <w:pPr>
              <w:rPr>
                <w:rFonts w:hint="eastAsia" w:ascii="仿宋_GB2312" w:hAnsi="黑体" w:eastAsia="仿宋_GB2312" w:cs="黑体"/>
                <w:color w:val="000000"/>
                <w:sz w:val="18"/>
                <w:szCs w:val="18"/>
              </w:rPr>
            </w:pPr>
            <w:r>
              <w:rPr>
                <w:rFonts w:hint="eastAsia" w:ascii="仿宋_GB2312" w:hAnsi="黑体" w:eastAsia="仿宋_GB2312" w:cs="黑体"/>
                <w:color w:val="000000"/>
                <w:sz w:val="18"/>
                <w:szCs w:val="18"/>
              </w:rPr>
              <w:t>执法监察大队、</w:t>
            </w:r>
          </w:p>
          <w:p>
            <w:r>
              <w:rPr>
                <w:rFonts w:hint="eastAsia" w:ascii="仿宋_GB2312" w:hAnsi="黑体" w:eastAsia="仿宋_GB2312" w:cs="黑体"/>
                <w:color w:val="000000"/>
                <w:sz w:val="18"/>
                <w:szCs w:val="18"/>
              </w:rPr>
              <w:t>黄金海岸分局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1" w:hRule="atLeast"/>
          <w:jc w:val="center"/>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2、擅自改变行政处罚种类、幅度的；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3、违反法定程序进行行政处罚的；</w:t>
            </w:r>
          </w:p>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4、违反委托处罚规定的；</w:t>
            </w:r>
          </w:p>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5、对违法行为未依法制止的；</w:t>
            </w:r>
          </w:p>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6、应当依法立案查处，无正当理由未依法立案查处的；</w:t>
            </w:r>
          </w:p>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7、在制止以及查处违法案件中受阻，依照有关规定应当向本级人民政府或者上级国土资源主管部门报告而未报告的；</w:t>
            </w:r>
          </w:p>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9、应当依法进行行政处罚而未依法处罚的；</w:t>
            </w:r>
          </w:p>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10、应当依法移送追究刑事责任，而未依法移送有权机关的；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hint="eastAsia" w:ascii="仿宋" w:hAnsi="仿宋" w:eastAsia="仿宋" w:cs="仿宋"/>
                <w:i w:val="0"/>
                <w:color w:val="000000"/>
                <w:kern w:val="0"/>
                <w:sz w:val="16"/>
                <w:szCs w:val="16"/>
                <w:u w:val="none"/>
                <w:lang w:val="en-US" w:eastAsia="zh-CN" w:bidi="ar"/>
              </w:rPr>
            </w:pPr>
            <w:r>
              <w:rPr>
                <w:rFonts w:hint="eastAsia" w:ascii="仿宋" w:hAnsi="仿宋" w:eastAsia="仿宋" w:cs="仿宋"/>
                <w:i w:val="0"/>
                <w:color w:val="000000"/>
                <w:kern w:val="0"/>
                <w:sz w:val="16"/>
                <w:szCs w:val="16"/>
                <w:u w:val="none"/>
                <w:lang w:val="en-US" w:eastAsia="zh-CN" w:bidi="ar"/>
              </w:rPr>
              <w:t>11、在行政处罚过程中发生腐败行为的；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after="0" w:line="260" w:lineRule="exact"/>
              <w:jc w:val="left"/>
              <w:textAlignment w:val="center"/>
              <w:rPr>
                <w:rFonts w:ascii="仿宋" w:hAnsi="仿宋" w:eastAsia="仿宋" w:cs="仿宋"/>
                <w:i w:val="0"/>
                <w:color w:val="000000"/>
                <w:kern w:val="2"/>
                <w:sz w:val="16"/>
                <w:szCs w:val="16"/>
                <w:u w:val="none"/>
                <w:lang w:val="en-US" w:eastAsia="zh-CN" w:bidi="ar-SA"/>
              </w:rPr>
            </w:pPr>
            <w:r>
              <w:rPr>
                <w:rFonts w:hint="eastAsia" w:ascii="仿宋" w:hAnsi="仿宋" w:eastAsia="仿宋" w:cs="仿宋"/>
                <w:i w:val="0"/>
                <w:color w:val="000000"/>
                <w:kern w:val="0"/>
                <w:sz w:val="16"/>
                <w:szCs w:val="16"/>
                <w:u w:val="none"/>
                <w:lang w:val="en-US" w:eastAsia="zh-CN" w:bidi="ar"/>
              </w:rPr>
              <w:t>12、其他违反法律法规规章文件规定的行为。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36" w:hRule="atLeast"/>
          <w:jc w:val="center"/>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hint="eastAsia" w:ascii="仿宋_GB2312" w:hAnsi="黑体" w:eastAsia="仿宋_GB2312" w:cs="黑体"/>
                <w:color w:val="000000"/>
                <w:kern w:val="0"/>
                <w:sz w:val="18"/>
                <w:szCs w:val="18"/>
              </w:rPr>
            </w:pPr>
            <w:r>
              <w:rPr>
                <w:rFonts w:hint="eastAsia" w:ascii="仿宋_GB2312" w:hAnsi="黑体" w:eastAsia="仿宋_GB2312" w:cs="黑体"/>
                <w:color w:val="000000"/>
                <w:kern w:val="0"/>
                <w:sz w:val="18"/>
                <w:szCs w:val="18"/>
              </w:rPr>
              <w:t>1.业务咨询：0335-2861320</w:t>
            </w:r>
            <w:r>
              <w:rPr>
                <w:rFonts w:hint="eastAsia" w:ascii="仿宋_GB2312" w:hAnsi="黑体" w:eastAsia="仿宋_GB2312" w:cs="黑体"/>
                <w:color w:val="000000"/>
                <w:kern w:val="0"/>
                <w:sz w:val="18"/>
                <w:szCs w:val="18"/>
              </w:rPr>
              <w:br w:type="textWrapping"/>
            </w:r>
            <w:r>
              <w:rPr>
                <w:rFonts w:hint="eastAsia" w:ascii="仿宋_GB2312" w:hAnsi="黑体" w:eastAsia="仿宋_GB2312" w:cs="黑体"/>
                <w:color w:val="000000"/>
                <w:kern w:val="0"/>
                <w:sz w:val="18"/>
                <w:szCs w:val="18"/>
              </w:rPr>
              <w:t>2.投诉举报电话：0335-2022626</w:t>
            </w:r>
          </w:p>
          <w:p>
            <w:pPr>
              <w:widowControl/>
              <w:adjustRightInd/>
              <w:snapToGrid/>
              <w:spacing w:after="0" w:line="240" w:lineRule="exact"/>
              <w:jc w:val="left"/>
              <w:textAlignment w:val="center"/>
              <w:rPr>
                <w:rFonts w:ascii="黑体" w:eastAsia="黑体" w:cs="黑体"/>
                <w:color w:val="000000"/>
                <w:sz w:val="24"/>
              </w:rPr>
            </w:pPr>
            <w:r>
              <w:rPr>
                <w:rFonts w:hint="eastAsia" w:ascii="仿宋_GB2312" w:hAnsi="黑体" w:eastAsia="仿宋_GB2312" w:cs="黑体"/>
                <w:color w:val="000000"/>
                <w:kern w:val="0"/>
                <w:sz w:val="18"/>
                <w:szCs w:val="18"/>
              </w:rPr>
              <w:t>3.纪检监察投诉：县纪委第四派驻纪检监察组，电话：0335-2608801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86" w:hRule="atLeast"/>
          <w:jc w:val="center"/>
        </w:trPr>
        <w:tc>
          <w:tcPr>
            <w:tcW w:w="1392" w:type="dxa"/>
            <w:tcBorders>
              <w:tl2br w:val="nil"/>
              <w:tr2bl w:val="nil"/>
            </w:tcBorders>
            <w:shd w:val="clear" w:color="auto" w:fill="auto"/>
            <w:vAlign w:val="center"/>
          </w:tcPr>
          <w:p>
            <w:pPr>
              <w:widowControl/>
              <w:adjustRightInd/>
              <w:snapToGrid/>
              <w:spacing w:after="0" w:line="240" w:lineRule="auto"/>
              <w:jc w:val="left"/>
              <w:textAlignment w:val="center"/>
              <w:rPr>
                <w:rFonts w:hint="eastAsia" w:ascii="仿宋_GB2312" w:hAnsi="Calibri" w:eastAsia="仿宋_GB2312" w:cs="仿宋_GB2312"/>
                <w:color w:val="000000"/>
                <w:kern w:val="0"/>
                <w:sz w:val="18"/>
                <w:szCs w:val="18"/>
              </w:rPr>
            </w:pPr>
            <w:r>
              <w:rPr>
                <w:rFonts w:hint="eastAsia" w:ascii="黑体" w:eastAsia="黑体" w:cs="黑体"/>
                <w:b/>
                <w:bCs/>
                <w:color w:val="000000"/>
                <w:kern w:val="0"/>
                <w:szCs w:val="21"/>
              </w:rPr>
              <w:t>法定救济途径</w:t>
            </w:r>
          </w:p>
        </w:tc>
        <w:tc>
          <w:tcPr>
            <w:tcW w:w="9263" w:type="dxa"/>
            <w:gridSpan w:val="8"/>
            <w:tcBorders>
              <w:tl2br w:val="nil"/>
              <w:tr2bl w:val="nil"/>
            </w:tcBorders>
            <w:shd w:val="clear" w:color="auto" w:fill="auto"/>
            <w:vAlign w:val="center"/>
          </w:tcPr>
          <w:p>
            <w:pPr>
              <w:widowControl/>
              <w:adjustRightInd/>
              <w:snapToGrid/>
              <w:spacing w:after="0" w:line="240" w:lineRule="auto"/>
              <w:jc w:val="left"/>
              <w:textAlignment w:val="center"/>
              <w:rPr>
                <w:rFonts w:hint="eastAsia" w:ascii="仿宋_GB2312" w:hAnsi="Calibri" w:eastAsia="仿宋_GB2312" w:cs="仿宋_GB2312"/>
                <w:color w:val="000000"/>
                <w:kern w:val="0"/>
                <w:sz w:val="18"/>
                <w:szCs w:val="18"/>
              </w:rPr>
            </w:pPr>
            <w:r>
              <w:rPr>
                <w:rFonts w:hint="eastAsia" w:ascii="仿宋_GB2312" w:hAnsi="Calibri" w:eastAsia="仿宋_GB2312" w:cs="仿宋_GB2312"/>
                <w:color w:val="000000"/>
                <w:kern w:val="0"/>
                <w:sz w:val="18"/>
                <w:szCs w:val="18"/>
              </w:rPr>
              <w:t>1．不服许可决定自知道该具体行政行为之日起六十日内向</w:t>
            </w:r>
            <w:r>
              <w:rPr>
                <w:rFonts w:hint="eastAsia" w:ascii="仿宋_GB2312" w:hAnsi="Calibri" w:eastAsia="仿宋_GB2312" w:cs="仿宋_GB2312"/>
                <w:color w:val="000000"/>
                <w:kern w:val="0"/>
                <w:sz w:val="18"/>
                <w:szCs w:val="18"/>
                <w:lang w:eastAsia="zh-CN"/>
              </w:rPr>
              <w:t>县</w:t>
            </w:r>
            <w:r>
              <w:rPr>
                <w:rFonts w:hint="eastAsia" w:ascii="仿宋_GB2312" w:hAnsi="Calibri" w:eastAsia="仿宋_GB2312" w:cs="仿宋_GB2312"/>
                <w:color w:val="000000"/>
                <w:kern w:val="0"/>
                <w:sz w:val="18"/>
                <w:szCs w:val="18"/>
              </w:rPr>
              <w:t>政府申请行政复议。</w:t>
            </w:r>
          </w:p>
          <w:p>
            <w:pPr>
              <w:widowControl/>
              <w:adjustRightInd/>
              <w:snapToGrid/>
              <w:spacing w:after="0" w:line="240" w:lineRule="auto"/>
              <w:jc w:val="left"/>
              <w:textAlignment w:val="center"/>
              <w:rPr>
                <w:rFonts w:hint="eastAsia" w:ascii="仿宋_GB2312" w:hAnsi="Calibri" w:eastAsia="仿宋_GB2312" w:cs="仿宋_GB2312"/>
                <w:color w:val="000000"/>
                <w:kern w:val="0"/>
                <w:sz w:val="18"/>
                <w:szCs w:val="18"/>
              </w:rPr>
            </w:pPr>
            <w:r>
              <w:rPr>
                <w:rFonts w:hint="eastAsia" w:ascii="仿宋_GB2312" w:hAnsi="Calibri" w:eastAsia="仿宋_GB2312" w:cs="仿宋_GB2312"/>
                <w:color w:val="000000"/>
                <w:kern w:val="0"/>
                <w:sz w:val="18"/>
                <w:szCs w:val="18"/>
              </w:rPr>
              <w:t>2．不服许可决定应当自知道或者应当知道作出行政行为之日起六个月内提出向</w:t>
            </w:r>
            <w:r>
              <w:rPr>
                <w:rFonts w:hint="eastAsia" w:ascii="仿宋_GB2312" w:hAnsi="Calibri" w:eastAsia="仿宋_GB2312" w:cs="仿宋_GB2312"/>
                <w:color w:val="000000"/>
                <w:kern w:val="0"/>
                <w:sz w:val="18"/>
                <w:szCs w:val="18"/>
                <w:lang w:eastAsia="zh-CN"/>
              </w:rPr>
              <w:t>昌黎县</w:t>
            </w:r>
            <w:bookmarkStart w:id="0" w:name="_GoBack"/>
            <w:bookmarkEnd w:id="0"/>
            <w:r>
              <w:rPr>
                <w:rFonts w:hint="eastAsia" w:ascii="仿宋_GB2312" w:hAnsi="Calibri" w:eastAsia="仿宋_GB2312" w:cs="仿宋_GB2312"/>
                <w:color w:val="000000"/>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8" w:hRule="atLeast"/>
          <w:jc w:val="center"/>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MzhjZGM4NWU5YjQzMDRhODI2MDc4MjM4NWZhZjE0YjAifQ=="/>
  </w:docVars>
  <w:rsids>
    <w:rsidRoot w:val="00D31D50"/>
    <w:rsid w:val="00323B43"/>
    <w:rsid w:val="003D37D8"/>
    <w:rsid w:val="00426133"/>
    <w:rsid w:val="004358AB"/>
    <w:rsid w:val="008B7726"/>
    <w:rsid w:val="00D31D50"/>
    <w:rsid w:val="021409B7"/>
    <w:rsid w:val="391A6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1391</Words>
  <Characters>1451</Characters>
  <Lines>1</Lines>
  <Paragraphs>1</Paragraphs>
  <TotalTime>5</TotalTime>
  <ScaleCrop>false</ScaleCrop>
  <LinksUpToDate>false</LinksUpToDate>
  <CharactersWithSpaces>1451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旭日东升</cp:lastModifiedBy>
  <dcterms:modified xsi:type="dcterms:W3CDTF">2024-07-10T07:38:34Z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D137CF56013C46BCBAB24143C294FC51_12</vt:lpwstr>
  </property>
</Properties>
</file>