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履职行权规程</w:t>
      </w:r>
    </w:p>
    <w:tbl>
      <w:tblPr>
        <w:jc w:val="center"/>
        <w:tblW w:w="102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rPr>
          <w:trHeight w:val="424"/>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行政征收</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资源规划局</w:t>
            </w:r>
          </w:p>
        </w:tc>
      </w:tr>
      <w:tr>
        <w:trPr>
          <w:trHeight w:val="405"/>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ascii="仿宋_GB2312" w:eastAsia="仿宋_GB2312" w:cs="仿宋_GB2312" w:hint="eastAsia"/>
                <w:color w:val="000000"/>
                <w:kern w:val="0"/>
                <w:sz w:val="18"/>
                <w:szCs w:val="18"/>
              </w:rPr>
              <w:t>耕地开垦费征收</w:t>
            </w:r>
          </w:p>
        </w:tc>
      </w:tr>
      <w:tr>
        <w:trPr>
          <w:trHeight w:val="2132"/>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仿宋_GB2312" w:eastAsia="仿宋_GB2312" w:cs="仿宋_GB2312" w:hAnsi="仿宋_GB2312"/>
                <w:kern w:val="0"/>
                <w:sz w:val="18"/>
                <w:szCs w:val="18"/>
              </w:rPr>
            </w:pPr>
            <w:r>
              <w:rPr>
                <w:rFonts w:ascii="黑体" w:eastAsia="黑体" w:cs="仿宋_GB2312" w:hAnsi="黑体" w:hint="eastAsia"/>
                <w:kern w:val="0"/>
                <w:sz w:val="18"/>
                <w:szCs w:val="18"/>
              </w:rPr>
              <w:t>【法律法规】</w:t>
            </w:r>
            <w:r>
              <w:rPr>
                <w:rFonts w:ascii="仿宋_GB2312" w:eastAsia="仿宋_GB2312" w:cs="仿宋_GB2312" w:hAnsi="仿宋_GB2312" w:hint="eastAsia"/>
                <w:kern w:val="0"/>
                <w:sz w:val="18"/>
                <w:szCs w:val="18"/>
              </w:rPr>
              <w:t>《</w:t>
            </w:r>
            <w:r>
              <w:rPr>
                <w:rFonts w:ascii="仿宋_GB2312" w:eastAsia="仿宋_GB2312" w:cs="仿宋_GB2312" w:hAnsi="仿宋_GB2312"/>
                <w:kern w:val="0"/>
                <w:sz w:val="18"/>
                <w:szCs w:val="18"/>
              </w:rPr>
              <w:t>中华人民共和国</w:t>
            </w:r>
            <w:r>
              <w:rPr>
                <w:rFonts w:ascii="仿宋_GB2312" w:eastAsia="仿宋_GB2312" w:cs="仿宋_GB2312" w:hAnsi="仿宋_GB2312" w:hint="eastAsia"/>
                <w:kern w:val="0"/>
                <w:sz w:val="18"/>
                <w:szCs w:val="18"/>
              </w:rPr>
              <w:t>土地管理法》第四章第30条 国家保护耕地，严格控制耕地转为非耕地。国家实行占用耕地补偿制度。非农业建设经批准占用耕地的，按“占多少，垦多少”的原则，由占用耕地的单位负责开垦与所占用耕地的数量和质量相当的耕地；没有条件开垦或者开垦的耕地不符合要求的，应当按照省、自治区、直辖市的规定缴纳耕地开垦费，专款用于开垦新的耕地。《河北省土地管理条例》第四章第28条 非农业建设占用耕地，没有条件开垦或者开垦的耕地经最终验收不合格的，占用耕地的单位应当按照省人民政府规定的标准，向县（市）以上土地行政主管部门缴纳耕地开垦费，由土地行政主管部门用于组织开垦与占用耕地的面积和质量相当的耕地。</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rPr>
                <w:rFonts w:ascii="黑体" w:eastAsia="黑体" w:cs="黑体"/>
                <w:b/>
                <w:bCs/>
                <w:color w:val="000000"/>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w:t>
            </w:r>
            <w:r>
              <w:rPr>
                <w:rFonts w:ascii="仿宋_GB2312" w:eastAsia="仿宋_GB2312" w:cs="仿宋_GB2312" w:hint="eastAsia"/>
                <w:kern w:val="0"/>
                <w:sz w:val="18"/>
                <w:szCs w:val="18"/>
                <w:lang w:eastAsia="zh-CN"/>
              </w:rPr>
              <w:t>四）国土空间用途管制</w:t>
            </w:r>
          </w:p>
        </w:tc>
      </w:tr>
      <w:tr>
        <w:trPr>
          <w:trHeight w:val="420"/>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54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受理</w:t>
            </w:r>
          </w:p>
        </w:tc>
        <w:tc>
          <w:tcPr>
            <w:tcW w:w="5287" w:type="dxa"/>
            <w:gridSpan w:val="5"/>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根据耕地开垦费收费标准及工作内容,对相关法律法规进行解释。</w:t>
            </w:r>
            <w:r>
              <w:rPr>
                <w:rFonts w:ascii="仿宋_GB2312" w:eastAsia="仿宋_GB2312" w:cs="仿宋_GB2312" w:hint="eastAsia"/>
                <w:color w:val="000000"/>
                <w:kern w:val="0"/>
                <w:sz w:val="18"/>
                <w:szCs w:val="18"/>
              </w:rPr>
              <w:t>依法受理或不予受理，并一次性告</w:t>
            </w:r>
            <w:r>
              <w:rPr>
                <w:rFonts w:ascii="仿宋_GB2312" w:eastAsia="仿宋_GB2312" w:cs="仿宋_GB2312"/>
                <w:color w:val="000000"/>
                <w:kern w:val="0"/>
                <w:sz w:val="18"/>
                <w:szCs w:val="18"/>
              </w:rPr>
              <w:t>知</w:t>
            </w:r>
            <w:r>
              <w:rPr>
                <w:rFonts w:ascii="仿宋_GB2312" w:eastAsia="仿宋_GB2312" w:cs="仿宋_GB2312" w:hint="eastAsia"/>
                <w:color w:val="000000"/>
                <w:kern w:val="0"/>
                <w:sz w:val="18"/>
                <w:szCs w:val="18"/>
              </w:rPr>
              <w:t>不予受理理由。</w:t>
            </w:r>
          </w:p>
        </w:tc>
        <w:tc>
          <w:tcPr>
            <w:tcW w:w="1339" w:type="dxa"/>
            <w:gridSpan w:val="2"/>
            <w:tcBorders>
              <w:tl2br w:val="nil"/>
              <w:tr2bl w:val="nil"/>
            </w:tcBorders>
            <w:shd w:val="clear" w:color="auto" w:fill="auto"/>
            <w:vAlign w:val="center"/>
          </w:tcPr>
          <w:p>
            <w:pPr>
              <w:jc w:val="center"/>
              <w:rPr>
                <w:rFonts w:ascii="仿宋_GB2312" w:eastAsia="仿宋_GB2312" w:cs="仿宋_GB2312" w:hAnsi="仿宋_GB2312"/>
                <w:color w:val="000000"/>
                <w:sz w:val="18"/>
                <w:szCs w:val="18"/>
              </w:rPr>
            </w:pPr>
            <w:r>
              <w:rPr>
                <w:rFonts w:ascii="仿宋_GB2312" w:eastAsia="仿宋_GB2312" w:cs="仿宋_GB2312" w:hAnsi="仿宋_GB2312" w:hint="eastAsia"/>
                <w:color w:val="000000"/>
                <w:sz w:val="18"/>
                <w:szCs w:val="18"/>
              </w:rPr>
              <w:t>3个工作日</w:t>
            </w:r>
          </w:p>
        </w:tc>
        <w:tc>
          <w:tcPr>
            <w:tcW w:w="1159" w:type="dxa"/>
            <w:tcBorders>
              <w:tl2br w:val="nil"/>
              <w:tr2bl w:val="nil"/>
            </w:tcBorders>
            <w:shd w:val="clear" w:color="auto" w:fill="auto"/>
            <w:vAlign w:val="center"/>
          </w:tcPr>
          <w:p>
            <w:pPr>
              <w:jc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rPr>
              <w:t>耕地保护</w:t>
            </w:r>
            <w:r>
              <w:rPr>
                <w:rFonts w:ascii="仿宋_GB2312" w:eastAsia="仿宋_GB2312" w:cs="仿宋_GB2312" w:hint="eastAsia"/>
                <w:color w:val="000000"/>
                <w:kern w:val="0"/>
                <w:sz w:val="18"/>
                <w:szCs w:val="18"/>
                <w:lang w:eastAsia="zh-CN"/>
              </w:rPr>
              <w:t>股</w:t>
            </w:r>
            <w:r>
              <w:rPr>
                <w:rFonts w:ascii="仿宋_GB2312" w:eastAsia="仿宋_GB2312" w:cs="仿宋_GB2312" w:hint="eastAsia"/>
                <w:color w:val="000000"/>
                <w:kern w:val="0"/>
                <w:sz w:val="18"/>
                <w:szCs w:val="18"/>
              </w:rPr>
              <w:t>和财务</w:t>
            </w:r>
            <w:r>
              <w:rPr>
                <w:rFonts w:ascii="仿宋_GB2312" w:eastAsia="仿宋_GB2312" w:cs="仿宋_GB2312" w:hint="eastAsia"/>
                <w:color w:val="000000"/>
                <w:kern w:val="0"/>
                <w:sz w:val="18"/>
                <w:szCs w:val="18"/>
                <w:lang w:eastAsia="zh-CN"/>
              </w:rPr>
              <w:t>室</w:t>
            </w:r>
          </w:p>
        </w:tc>
      </w:tr>
      <w:tr>
        <w:trPr>
          <w:trHeight w:val="33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审查</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审查</w:t>
            </w:r>
            <w:r>
              <w:rPr>
                <w:rFonts w:ascii="仿宋_GB2312" w:eastAsia="仿宋_GB2312" w:cs="仿宋_GB2312"/>
                <w:color w:val="000000"/>
                <w:kern w:val="0"/>
                <w:sz w:val="18"/>
                <w:szCs w:val="18"/>
              </w:rPr>
              <w:t>申请对象提供的相关材料，</w:t>
            </w:r>
            <w:r>
              <w:rPr>
                <w:rFonts w:ascii="仿宋_GB2312" w:eastAsia="仿宋_GB2312" w:cs="仿宋_GB2312" w:hAnsi="仿宋_GB2312" w:hint="eastAsia"/>
                <w:kern w:val="0"/>
                <w:sz w:val="18"/>
                <w:szCs w:val="18"/>
              </w:rPr>
              <w:t>审核占用耕地面积等内容，按照收费标准测算耕地开垦费金额，并通知申请人缴费。</w:t>
            </w:r>
          </w:p>
        </w:tc>
        <w:tc>
          <w:tcPr>
            <w:tcW w:w="1339" w:type="dxa"/>
            <w:gridSpan w:val="2"/>
            <w:tcBorders>
              <w:tl2br w:val="nil"/>
              <w:tr2bl w:val="nil"/>
            </w:tcBorders>
            <w:shd w:val="clear" w:color="auto" w:fill="auto"/>
            <w:vAlign w:val="center"/>
          </w:tcPr>
          <w:p>
            <w:pPr>
              <w:jc w:val="center"/>
              <w:rPr>
                <w:rFonts w:ascii="仿宋_GB2312" w:eastAsia="仿宋_GB2312" w:cs="仿宋_GB2312" w:hAnsi="仿宋_GB2312"/>
                <w:color w:val="000000"/>
                <w:sz w:val="18"/>
                <w:szCs w:val="18"/>
              </w:rPr>
            </w:pPr>
            <w:r>
              <w:rPr>
                <w:rFonts w:ascii="仿宋_GB2312" w:eastAsia="仿宋_GB2312" w:cs="仿宋_GB2312" w:hAnsi="仿宋_GB2312" w:hint="eastAsia"/>
                <w:color w:val="000000"/>
                <w:sz w:val="18"/>
                <w:szCs w:val="18"/>
              </w:rPr>
              <w:t>2个工作日</w:t>
            </w: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耕地保护</w:t>
            </w:r>
            <w:r>
              <w:rPr>
                <w:rFonts w:ascii="仿宋_GB2312" w:eastAsia="仿宋_GB2312" w:cs="仿宋_GB2312" w:hint="eastAsia"/>
                <w:color w:val="000000"/>
                <w:kern w:val="0"/>
                <w:sz w:val="18"/>
                <w:szCs w:val="18"/>
                <w:lang w:eastAsia="zh-CN"/>
              </w:rPr>
              <w:t>股</w:t>
            </w:r>
            <w:r>
              <w:rPr>
                <w:rFonts w:ascii="仿宋_GB2312" w:eastAsia="仿宋_GB2312" w:cs="仿宋_GB2312" w:hint="eastAsia"/>
                <w:color w:val="000000"/>
                <w:kern w:val="0"/>
                <w:sz w:val="18"/>
                <w:szCs w:val="18"/>
              </w:rPr>
              <w:t>和财务</w:t>
            </w:r>
            <w:r>
              <w:rPr>
                <w:rFonts w:ascii="仿宋_GB2312" w:eastAsia="仿宋_GB2312" w:cs="仿宋_GB2312" w:hint="eastAsia"/>
                <w:color w:val="000000"/>
                <w:kern w:val="0"/>
                <w:sz w:val="18"/>
                <w:szCs w:val="18"/>
                <w:lang w:eastAsia="zh-CN"/>
              </w:rPr>
              <w:t>室</w:t>
            </w:r>
          </w:p>
        </w:tc>
      </w:tr>
      <w:tr>
        <w:trPr>
          <w:trHeight w:val="33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color w:val="000000"/>
                <w:sz w:val="18"/>
                <w:szCs w:val="18"/>
              </w:rPr>
              <w:t>审批</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Ansi="仿宋_GB2312" w:hint="eastAsia"/>
                <w:color w:val="000000"/>
                <w:sz w:val="18"/>
                <w:szCs w:val="18"/>
              </w:rPr>
              <w:t>根据申请人提交的申请材料组织审批，并上缴相应</w:t>
            </w:r>
            <w:r>
              <w:rPr>
                <w:rFonts w:ascii="仿宋_GB2312" w:eastAsia="仿宋_GB2312" w:cs="仿宋_GB2312" w:hAnsi="仿宋_GB2312"/>
                <w:color w:val="000000"/>
                <w:sz w:val="18"/>
                <w:szCs w:val="18"/>
              </w:rPr>
              <w:t>账</w:t>
            </w:r>
            <w:bookmarkStart w:id="0" w:name="_GoBack"/>
            <w:bookmarkEnd w:id="0"/>
            <w:r>
              <w:rPr>
                <w:rFonts w:ascii="仿宋_GB2312" w:eastAsia="仿宋_GB2312" w:cs="仿宋_GB2312" w:hAnsi="仿宋_GB2312" w:hint="eastAsia"/>
                <w:color w:val="000000"/>
                <w:sz w:val="18"/>
                <w:szCs w:val="18"/>
              </w:rPr>
              <w:t>户</w:t>
            </w:r>
          </w:p>
        </w:tc>
        <w:tc>
          <w:tcPr>
            <w:tcW w:w="1339" w:type="dxa"/>
            <w:gridSpan w:val="2"/>
            <w:tcBorders>
              <w:tl2br w:val="nil"/>
              <w:tr2bl w:val="nil"/>
            </w:tcBorders>
            <w:shd w:val="clear" w:color="auto" w:fill="auto"/>
            <w:vAlign w:val="center"/>
          </w:tcPr>
          <w:p>
            <w:pPr>
              <w:jc w:val="center"/>
              <w:rPr>
                <w:rFonts w:ascii="仿宋_GB2312" w:eastAsia="仿宋_GB2312" w:cs="仿宋_GB2312" w:hAnsi="仿宋_GB2312"/>
                <w:color w:val="000000"/>
                <w:sz w:val="18"/>
                <w:szCs w:val="18"/>
              </w:rPr>
            </w:pPr>
            <w:r>
              <w:rPr>
                <w:rFonts w:ascii="仿宋_GB2312" w:eastAsia="仿宋_GB2312" w:cs="仿宋_GB2312" w:hAnsi="仿宋_GB2312" w:hint="eastAsia"/>
                <w:color w:val="000000"/>
                <w:sz w:val="18"/>
                <w:szCs w:val="18"/>
              </w:rPr>
              <w:t>7个工作日</w:t>
            </w: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耕地保护</w:t>
            </w:r>
            <w:r>
              <w:rPr>
                <w:rFonts w:ascii="仿宋_GB2312" w:eastAsia="仿宋_GB2312" w:cs="仿宋_GB2312" w:hint="eastAsia"/>
                <w:color w:val="000000"/>
                <w:kern w:val="0"/>
                <w:sz w:val="18"/>
                <w:szCs w:val="18"/>
                <w:lang w:eastAsia="zh-CN"/>
              </w:rPr>
              <w:t>股</w:t>
            </w:r>
            <w:r>
              <w:rPr>
                <w:rFonts w:ascii="仿宋_GB2312" w:eastAsia="仿宋_GB2312" w:cs="仿宋_GB2312" w:hint="eastAsia"/>
                <w:color w:val="000000"/>
                <w:kern w:val="0"/>
                <w:sz w:val="18"/>
                <w:szCs w:val="18"/>
              </w:rPr>
              <w:t>和财务</w:t>
            </w:r>
            <w:r>
              <w:rPr>
                <w:rFonts w:ascii="仿宋_GB2312" w:eastAsia="仿宋_GB2312" w:cs="仿宋_GB2312" w:hint="eastAsia"/>
                <w:color w:val="000000"/>
                <w:kern w:val="0"/>
                <w:sz w:val="18"/>
                <w:szCs w:val="18"/>
                <w:lang w:eastAsia="zh-CN"/>
              </w:rPr>
              <w:t>室</w:t>
            </w:r>
          </w:p>
        </w:tc>
      </w:tr>
      <w:tr>
        <w:trPr>
          <w:trHeight w:val="501"/>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color w:val="000000"/>
                <w:sz w:val="18"/>
                <w:szCs w:val="18"/>
              </w:rPr>
              <w:t>归档</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档案留存</w:t>
            </w:r>
          </w:p>
        </w:tc>
        <w:tc>
          <w:tcPr>
            <w:tcW w:w="1339" w:type="dxa"/>
            <w:gridSpan w:val="2"/>
            <w:tcBorders>
              <w:tl2br w:val="nil"/>
              <w:tr2bl w:val="nil"/>
            </w:tcBorders>
            <w:shd w:val="clear" w:color="auto" w:fill="auto"/>
            <w:vAlign w:val="center"/>
          </w:tcPr>
          <w:p>
            <w:pPr>
              <w:jc w:val="center"/>
              <w:rPr>
                <w:rFonts w:ascii="仿宋_GB2312" w:eastAsia="仿宋_GB2312" w:cs="仿宋_GB2312" w:hAnsi="仿宋_GB2312"/>
                <w:color w:val="000000"/>
                <w:sz w:val="18"/>
                <w:szCs w:val="18"/>
              </w:rPr>
            </w:pPr>
            <w:r>
              <w:rPr>
                <w:rFonts w:ascii="仿宋_GB2312" w:eastAsia="仿宋_GB2312" w:cs="仿宋_GB2312" w:hAnsi="仿宋_GB2312" w:hint="eastAsia"/>
                <w:color w:val="000000"/>
                <w:sz w:val="18"/>
                <w:szCs w:val="18"/>
              </w:rPr>
              <w:t>1个工作日</w:t>
            </w: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耕地保护</w:t>
            </w:r>
            <w:r>
              <w:rPr>
                <w:rFonts w:ascii="仿宋_GB2312" w:eastAsia="仿宋_GB2312" w:cs="仿宋_GB2312" w:hint="eastAsia"/>
                <w:color w:val="000000"/>
                <w:kern w:val="0"/>
                <w:sz w:val="18"/>
                <w:szCs w:val="18"/>
                <w:lang w:eastAsia="zh-CN"/>
              </w:rPr>
              <w:t>股</w:t>
            </w:r>
            <w:r>
              <w:rPr>
                <w:rFonts w:ascii="仿宋_GB2312" w:eastAsia="仿宋_GB2312" w:cs="仿宋_GB2312" w:hint="eastAsia"/>
                <w:color w:val="000000"/>
                <w:kern w:val="0"/>
                <w:sz w:val="18"/>
                <w:szCs w:val="18"/>
              </w:rPr>
              <w:t>和财务</w:t>
            </w:r>
            <w:r>
              <w:rPr>
                <w:rFonts w:ascii="仿宋_GB2312" w:eastAsia="仿宋_GB2312" w:cs="仿宋_GB2312" w:hint="eastAsia"/>
                <w:color w:val="000000"/>
                <w:kern w:val="0"/>
                <w:sz w:val="18"/>
                <w:szCs w:val="18"/>
                <w:lang w:eastAsia="zh-CN"/>
              </w:rPr>
              <w:t>室</w:t>
            </w:r>
          </w:p>
        </w:tc>
      </w:tr>
      <w:tr>
        <w:trPr>
          <w:trHeight w:val="501"/>
        </w:trPr>
        <w:tc>
          <w:tcPr>
            <w:tcW w:w="1463" w:type="dxa"/>
            <w:tcBorders>
              <w:tl2br w:val="nil"/>
              <w:tr2bl w:val="nil"/>
            </w:tcBorders>
            <w:shd w:val="clear" w:color="auto" w:fill="auto"/>
            <w:vAlign w:val="center"/>
          </w:tcPr>
          <w:p>
            <w:pPr>
              <w:jc w:val="center"/>
              <w:rPr>
                <w:rFonts w:ascii="黑体" w:eastAsia="黑体" w:hAnsi="黑体"/>
                <w:b/>
              </w:rPr>
            </w:pPr>
            <w:r>
              <w:rPr>
                <w:rFonts w:ascii="黑体" w:eastAsia="黑体" w:hAnsi="黑体" w:hint="eastAsia"/>
                <w:b/>
              </w:rPr>
              <w:t>办理渠道</w:t>
            </w:r>
          </w:p>
        </w:tc>
        <w:tc>
          <w:tcPr>
            <w:tcW w:w="4636"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现场办理</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黑体" w:eastAsia="黑体" w:cs="黑体" w:hint="eastAsia"/>
                <w:b/>
                <w:bCs/>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否</w:t>
            </w:r>
          </w:p>
        </w:tc>
      </w:tr>
      <w:tr>
        <w:trPr>
          <w:trHeight w:val="486"/>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ascii="黑体" w:eastAsia="黑体" w:cs="黑体" w:hint="eastAsia"/>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18"/>
                <w:color w:val="auto"/>
              </w:rPr>
            </w:pPr>
            <w:r>
              <w:rPr>
                <w:rStyle w:val="18"/>
                <w:rFonts w:hint="eastAsia"/>
                <w:color w:val="auto"/>
              </w:rPr>
              <w:t>申请、坐标文件、缴费通知书</w:t>
            </w:r>
          </w:p>
        </w:tc>
      </w:tr>
      <w:tr>
        <w:trPr>
          <w:trHeight w:val="1170"/>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18"/>
                <w:rFonts w:ascii="仿宋" w:eastAsia="仿宋" w:hAnsi="仿宋"/>
              </w:rPr>
            </w:pPr>
            <w:r>
              <w:rPr>
                <w:rStyle w:val="18"/>
                <w:rFonts w:ascii="仿宋" w:eastAsia="仿宋" w:hAnsi="仿宋"/>
              </w:rPr>
              <w:t>因不履行或不正确履行行政职责，有下列情形的，行政机关及相关工作人员应承担相应责任：</w:t>
            </w:r>
          </w:p>
          <w:p>
            <w:pPr>
              <w:spacing w:line="240" w:lineRule="exact"/>
              <w:rPr>
                <w:rFonts w:ascii="仿宋" w:eastAsia="仿宋" w:cs="黑体" w:hAnsi="仿宋"/>
                <w:color w:val="000000"/>
                <w:szCs w:val="21"/>
              </w:rPr>
            </w:pPr>
            <w:r>
              <w:rPr>
                <w:rFonts w:ascii="仿宋" w:eastAsia="仿宋" w:cs="仿宋_GB2312" w:hAnsi="仿宋" w:hint="eastAsia"/>
                <w:kern w:val="0"/>
                <w:sz w:val="18"/>
                <w:szCs w:val="18"/>
              </w:rPr>
              <w:t>1.无合法依据征收耕地开垦费的；</w:t>
              <w:br/>
              <w:t>2.擅自免征、减征耕地开垦费的；</w:t>
              <w:br/>
              <w:t>3.在耕地开垦费征收工作中玩忽职守、滥用职权的。</w:t>
            </w:r>
          </w:p>
        </w:tc>
      </w:tr>
      <w:tr>
        <w:trPr>
          <w:trHeight w:val="63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hint="eastAsia"/>
                <w:color w:val="000000"/>
                <w:kern w:val="0"/>
                <w:sz w:val="18"/>
                <w:szCs w:val="18"/>
                <w:lang w:val="en-US" w:eastAsia="zh-CN"/>
              </w:rPr>
            </w:pPr>
            <w:r>
              <w:rPr>
                <w:rFonts w:ascii="仿宋_GB2312" w:eastAsia="仿宋_GB2312" w:cs="仿宋_GB2312" w:hint="eastAsia"/>
                <w:color w:val="000000"/>
                <w:kern w:val="0"/>
                <w:sz w:val="18"/>
                <w:szCs w:val="18"/>
                <w:lang w:val="en-US" w:eastAsia="zh-CN"/>
              </w:rPr>
              <w:t>1、</w:t>
            </w:r>
            <w:r>
              <w:rPr>
                <w:rFonts w:ascii="仿宋_GB2312" w:eastAsia="仿宋_GB2312" w:cs="仿宋_GB2312" w:hint="eastAsia"/>
                <w:color w:val="000000"/>
                <w:kern w:val="0"/>
                <w:sz w:val="18"/>
                <w:szCs w:val="18"/>
              </w:rPr>
              <w:t>业务咨询：0335-</w:t>
            </w:r>
            <w:r>
              <w:rPr>
                <w:rFonts w:ascii="仿宋_GB2312" w:eastAsia="仿宋_GB2312" w:cs="仿宋_GB2312" w:hint="eastAsia"/>
                <w:color w:val="000000"/>
                <w:kern w:val="0"/>
                <w:sz w:val="18"/>
                <w:szCs w:val="18"/>
                <w:lang w:val="en-US" w:eastAsia="zh-CN"/>
              </w:rPr>
              <w:t>2862279</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lang w:val="en-US" w:eastAsia="zh-CN"/>
              </w:rPr>
              <w:t>2、</w:t>
            </w:r>
            <w:r>
              <w:rPr>
                <w:rFonts w:ascii="仿宋_GB2312" w:eastAsia="仿宋_GB2312" w:cs="仿宋_GB2312" w:hint="eastAsia"/>
                <w:color w:val="000000"/>
                <w:kern w:val="0"/>
                <w:sz w:val="18"/>
                <w:szCs w:val="18"/>
              </w:rPr>
              <w:t>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widowControl/>
              <w:spacing w:line="240" w:lineRule="exact"/>
              <w:jc w:val="left"/>
              <w:textAlignment w:val="center"/>
              <w:rPr>
                <w:rFonts w:ascii="仿宋" w:eastAsia="仿宋" w:cs="黑体" w:hAnsi="仿宋"/>
                <w:color w:val="000000"/>
                <w:sz w:val="24"/>
              </w:rPr>
            </w:pPr>
            <w:r>
              <w:rPr>
                <w:rFonts w:ascii="仿宋_GB2312" w:eastAsia="仿宋_GB2312" w:cs="仿宋_GB2312" w:hint="eastAsia"/>
                <w:color w:val="000000"/>
                <w:kern w:val="0"/>
                <w:sz w:val="18"/>
                <w:szCs w:val="18"/>
                <w:lang w:val="en-US" w:eastAsia="zh-CN"/>
              </w:rPr>
              <w:t>3、</w:t>
            </w:r>
            <w:r>
              <w:rPr>
                <w:rFonts w:ascii="仿宋_GB2312" w:eastAsia="仿宋_GB2312" w:cs="黑体" w:hAnsi="黑体" w:hint="eastAsia"/>
                <w:color w:val="000000"/>
                <w:kern w:val="0"/>
                <w:sz w:val="18"/>
                <w:szCs w:val="18"/>
              </w:rPr>
              <w:t>纪检监察投诉：县纪委第四派驻纪检监察组，电话：0335-2608801</w:t>
            </w:r>
          </w:p>
        </w:tc>
      </w:tr>
      <w:tr>
        <w:trPr>
          <w:trHeight w:val="78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b/>
                <w:bCs/>
                <w:color w:val="000000"/>
                <w:szCs w:val="21"/>
              </w:rPr>
            </w:pPr>
            <w:r>
              <w:rPr>
                <w:rFonts w:ascii="仿宋_GB2312" w:eastAsia="仿宋_GB2312" w:cs="仿宋_GB2312" w:hint="eastAsia"/>
                <w:color w:val="000000"/>
                <w:kern w:val="0"/>
                <w:sz w:val="18"/>
                <w:szCs w:val="18"/>
              </w:rPr>
              <w:t>无</w:t>
            </w:r>
          </w:p>
        </w:tc>
      </w:tr>
      <w:tr>
        <w:trPr>
          <w:trHeight w:val="557"/>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num="1" w:space="72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仿宋">
    <w:panose1 w:val="02010609060101010101"/>
    <w:charset w:val="86"/>
    <w:family w:val="modern"/>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character" w:customStyle="1" w:styleId="18">
    <w:name w:val="font112"/>
    <w:basedOn w:val="10"/>
    <w:rPr>
      <w:rFonts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36381562-D914-40BF-BC14-3D7EBCA6A460}">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TotalTime>
  <Application>Yozo_Office27021597764231179</Application>
  <Pages>1</Pages>
  <Words>0</Words>
  <Characters>662</Characters>
  <Lines>0</Lines>
  <Paragraphs>3</Paragraphs>
  <CharactersWithSpaces>883</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xb21cn</dc:creator>
  <cp:lastModifiedBy>hp</cp:lastModifiedBy>
  <cp:revision>36</cp:revision>
  <cp:lastPrinted>2023-08-16T09:13:00Z</cp:lastPrinted>
  <dcterms:created xsi:type="dcterms:W3CDTF">2023-08-01T10:33:00Z</dcterms:created>
  <dcterms:modified xsi:type="dcterms:W3CDTF">2024-09-29T01:34:25Z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6CF0DE815C8948F9B7FB75C8CC16BFF6_12</vt:lpwstr>
  </property>
</Properties>
</file>