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130"/>
        <w:gridCol w:w="1801"/>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行政征收</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widowControl/>
              <w:jc w:val="center"/>
              <w:rPr>
                <w:rFonts w:ascii="仿宋" w:eastAsia="仿宋" w:cs="宋体" w:hAnsi="仿宋"/>
                <w:color w:val="000000"/>
                <w:sz w:val="18"/>
                <w:szCs w:val="18"/>
              </w:rPr>
            </w:pPr>
            <w:r>
              <w:rPr>
                <w:rFonts w:ascii="仿宋" w:eastAsia="仿宋" w:hAnsi="仿宋" w:hint="eastAsia"/>
                <w:color w:val="000000"/>
                <w:sz w:val="18"/>
                <w:szCs w:val="18"/>
              </w:rPr>
              <w:t>不动产登记费征收</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widowControl/>
              <w:rPr>
                <w:rFonts w:ascii="仿宋" w:eastAsia="仿宋" w:cs="宋体" w:hAnsi="仿宋"/>
                <w:color w:val="000000"/>
                <w:sz w:val="18"/>
                <w:szCs w:val="18"/>
              </w:rPr>
            </w:pPr>
            <w:r>
              <w:rPr>
                <w:rFonts w:ascii="仿宋" w:eastAsia="仿宋" w:hAnsi="仿宋" w:hint="eastAsia"/>
                <w:color w:val="000000"/>
                <w:sz w:val="18"/>
                <w:szCs w:val="18"/>
              </w:rPr>
              <w:t>《</w:t>
            </w:r>
            <w:r>
              <w:rPr>
                <w:rFonts w:ascii="仿宋" w:eastAsia="仿宋" w:hAnsi="仿宋"/>
                <w:color w:val="000000"/>
                <w:sz w:val="18"/>
                <w:szCs w:val="18"/>
              </w:rPr>
              <w:t>中华人民共和国</w:t>
            </w:r>
            <w:r>
              <w:rPr>
                <w:rFonts w:ascii="仿宋" w:eastAsia="仿宋" w:hAnsi="仿宋" w:hint="eastAsia"/>
                <w:color w:val="000000"/>
                <w:sz w:val="18"/>
                <w:szCs w:val="18"/>
              </w:rPr>
              <w:t>民法典》第二百二十三条：不动产登记收费按件收取，不得按照不动产的面积、体积或者价款的比例收取。国家发展改革委 财政部关于不动产登记收费标准等有关问题的通知发改价格规【2016】2559号文件发文时间2016.12.6、财政部 国家发展和改革委员会关于不动产登记收费有关政策问题的通知财税【2016】79号，发文时间2016.7.12</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黑体" w:eastAsia="黑体"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二）自然资源确权登记</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697"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80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公示告知不动产登记收费并按申请人的要求进行相关解释说明</w:t>
            </w:r>
          </w:p>
        </w:tc>
        <w:tc>
          <w:tcPr>
            <w:tcW w:w="697"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ascii="黑体" w:eastAsia="黑体" w:cs="黑体" w:hint="eastAsia"/>
                <w:color w:val="000000"/>
                <w:sz w:val="18"/>
                <w:szCs w:val="18"/>
              </w:rPr>
              <w:t>即时办结</w:t>
            </w:r>
          </w:p>
        </w:tc>
        <w:tc>
          <w:tcPr>
            <w:tcW w:w="1801"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不动产登记中心</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审核</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依照登记事项及登记材料，根据收费标准审查不动产登记费收缴，减缴、免缴的依据及金额等</w:t>
            </w:r>
          </w:p>
        </w:tc>
        <w:tc>
          <w:tcPr>
            <w:tcW w:w="697" w:type="dxa"/>
            <w:gridSpan w:val="2"/>
            <w:vMerge/>
            <w:tcBorders>
              <w:tl2br w:val="nil"/>
              <w:tr2bl w:val="nil"/>
            </w:tcBorders>
            <w:shd w:val="clear" w:color="auto" w:fill="auto"/>
            <w:vAlign w:val="center"/>
          </w:tcPr>
          <w:p/>
        </w:tc>
        <w:tc>
          <w:tcPr>
            <w:tcW w:w="1801"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不动产登记中心</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701" w:type="dxa"/>
            <w:gridSpan w:val="2"/>
            <w:tcBorders>
              <w:top w:val="single" w:sz="6" w:space="0" w:color="000000"/>
              <w:left w:val="single" w:sz="6" w:space="0" w:color="000000"/>
              <w:right w:val="single" w:sz="6" w:space="0" w:color="000000"/>
            </w:tcBorders>
          </w:tcPr>
          <w:p>
            <w:pPr>
              <w:jc w:val="center"/>
              <w:rPr>
                <w:rFonts w:ascii="黑体" w:eastAsia="黑体" w:cs="仿宋_GB2312" w:hAnsi="黑体"/>
                <w:b/>
                <w:color w:val="000000"/>
                <w:kern w:val="0"/>
                <w:szCs w:val="21"/>
              </w:rPr>
            </w:pPr>
            <w:r>
              <w:rPr>
                <w:rFonts w:ascii="黑体" w:eastAsia="黑体" w:cs="仿宋_GB2312" w:hAnsi="黑体" w:hint="eastAsia"/>
                <w:b/>
                <w:color w:val="000000"/>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否</w:t>
            </w:r>
          </w:p>
        </w:tc>
      </w:tr>
      <w:tr>
        <w:trPr>
          <w:trHeight w:val="47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jc w:val="center"/>
              <w:rPr>
                <w:rFonts w:ascii="仿宋" w:eastAsia="仿宋" w:cs="仿宋_GB2312" w:hAnsi="仿宋"/>
                <w:color w:val="000000"/>
                <w:kern w:val="0"/>
                <w:sz w:val="18"/>
                <w:szCs w:val="18"/>
              </w:rPr>
            </w:pPr>
            <w:r>
              <w:rPr>
                <w:rFonts w:ascii="仿宋" w:eastAsia="仿宋" w:hAnsi="仿宋" w:hint="eastAsia"/>
                <w:color w:val="000000"/>
              </w:rPr>
              <w:t>1、不动产登记受理</w:t>
            </w:r>
            <w:r>
              <w:rPr>
                <w:rFonts w:ascii="仿宋" w:eastAsia="仿宋" w:hAnsi="仿宋"/>
                <w:color w:val="000000"/>
              </w:rPr>
              <w:t>、缴费、领证通知单</w:t>
            </w:r>
          </w:p>
        </w:tc>
      </w:tr>
      <w:tr>
        <w:trPr>
          <w:trHeight w:val="1405"/>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7"/>
                <w:rFonts w:ascii="仿宋" w:eastAsia="仿宋" w:hAnsi="仿宋"/>
              </w:rPr>
            </w:pPr>
            <w:r>
              <w:rPr>
                <w:rStyle w:val="17"/>
                <w:rFonts w:ascii="仿宋" w:eastAsia="仿宋" w:hAnsi="仿宋" w:hint="eastAsia"/>
              </w:rPr>
              <w:t>1、对依法应当收取不动产登记费未征收的；</w:t>
            </w:r>
          </w:p>
          <w:p>
            <w:pPr>
              <w:widowControl/>
              <w:spacing w:line="240" w:lineRule="exact"/>
              <w:jc w:val="left"/>
              <w:textAlignment w:val="center"/>
              <w:rPr>
                <w:rStyle w:val="17"/>
                <w:rFonts w:ascii="仿宋" w:eastAsia="仿宋" w:hAnsi="仿宋"/>
              </w:rPr>
            </w:pPr>
            <w:r>
              <w:rPr>
                <w:rStyle w:val="17"/>
                <w:rFonts w:ascii="仿宋" w:eastAsia="仿宋" w:hAnsi="仿宋" w:hint="eastAsia"/>
              </w:rPr>
              <w:t>2、违反相关规定对登记费进行减免、缓征的；</w:t>
            </w:r>
          </w:p>
          <w:p>
            <w:pPr>
              <w:widowControl/>
              <w:spacing w:line="240" w:lineRule="exact"/>
              <w:jc w:val="left"/>
              <w:textAlignment w:val="center"/>
              <w:rPr>
                <w:rStyle w:val="17"/>
                <w:rFonts w:ascii="仿宋" w:eastAsia="仿宋" w:hAnsi="仿宋"/>
              </w:rPr>
            </w:pPr>
            <w:r>
              <w:rPr>
                <w:rStyle w:val="17"/>
                <w:rFonts w:ascii="仿宋" w:eastAsia="仿宋" w:hAnsi="仿宋" w:hint="eastAsia"/>
              </w:rPr>
              <w:t>3、对国家规定予以减免的登记费未予减免的；</w:t>
            </w:r>
          </w:p>
          <w:p>
            <w:pPr>
              <w:widowControl/>
              <w:spacing w:line="240" w:lineRule="exact"/>
              <w:jc w:val="left"/>
              <w:textAlignment w:val="center"/>
              <w:rPr>
                <w:rStyle w:val="17"/>
                <w:rFonts w:ascii="仿宋" w:eastAsia="仿宋" w:hAnsi="仿宋"/>
              </w:rPr>
            </w:pPr>
            <w:r>
              <w:rPr>
                <w:rStyle w:val="17"/>
                <w:rFonts w:ascii="仿宋" w:eastAsia="仿宋" w:hAnsi="仿宋" w:hint="eastAsia"/>
              </w:rPr>
              <w:t>4、其他违反法律法规规章文件规定的行为。</w:t>
            </w:r>
          </w:p>
        </w:tc>
      </w:tr>
      <w:tr>
        <w:trPr>
          <w:trHeight w:val="117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2863967</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spacing w:line="240" w:lineRule="exact"/>
              <w:rPr>
                <w:rFonts w:ascii="仿宋" w:eastAsia="仿宋" w:cs="黑体" w:hAnsi="仿宋"/>
                <w:color w:val="000000"/>
                <w:szCs w:val="21"/>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63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 w:eastAsia="仿宋" w:cs="仿宋_GB2312" w:hAnsi="仿宋"/>
                <w:color w:val="000000"/>
                <w:kern w:val="0"/>
                <w:sz w:val="18"/>
                <w:szCs w:val="18"/>
              </w:rPr>
            </w:pPr>
            <w:r>
              <w:rPr>
                <w:rFonts w:ascii="仿宋" w:eastAsia="仿宋" w:cs="仿宋_GB2312" w:hAnsi="仿宋" w:hint="eastAsia"/>
                <w:color w:val="000000"/>
                <w:kern w:val="0"/>
                <w:sz w:val="18"/>
                <w:szCs w:val="18"/>
              </w:rPr>
              <w:t>1．公民、</w:t>
            </w:r>
            <w:r>
              <w:rPr>
                <w:rFonts w:ascii="仿宋" w:eastAsia="仿宋" w:cs="仿宋_GB2312" w:hAnsi="仿宋"/>
                <w:color w:val="000000"/>
                <w:kern w:val="0"/>
                <w:sz w:val="18"/>
                <w:szCs w:val="18"/>
              </w:rPr>
              <w:t>法人或其他组织</w:t>
            </w:r>
            <w:r>
              <w:rPr>
                <w:rFonts w:ascii="仿宋" w:eastAsia="仿宋" w:cs="仿宋_GB2312" w:hAnsi="仿宋" w:hint="eastAsia"/>
                <w:color w:val="000000"/>
                <w:kern w:val="0"/>
                <w:sz w:val="18"/>
                <w:szCs w:val="18"/>
              </w:rPr>
              <w:t>认为登记</w:t>
            </w:r>
            <w:r>
              <w:rPr>
                <w:rFonts w:ascii="仿宋" w:eastAsia="仿宋" w:hAnsi="仿宋"/>
                <w:sz w:val="18"/>
                <w:szCs w:val="18"/>
              </w:rPr>
              <w:t>行为侵犯其合法权益的</w:t>
            </w:r>
            <w:r>
              <w:rPr>
                <w:rFonts w:ascii="仿宋" w:eastAsia="仿宋" w:hAnsi="仿宋"/>
              </w:rPr>
              <w:t>，</w:t>
            </w:r>
            <w:r>
              <w:rPr>
                <w:rFonts w:ascii="仿宋" w:eastAsia="仿宋" w:cs="仿宋_GB2312" w:hAnsi="仿宋" w:hint="eastAsia"/>
                <w:color w:val="000000"/>
                <w:kern w:val="0"/>
                <w:sz w:val="18"/>
                <w:szCs w:val="18"/>
              </w:rPr>
              <w:t>自知道</w:t>
            </w:r>
            <w:r>
              <w:rPr>
                <w:rFonts w:ascii="仿宋" w:eastAsia="仿宋" w:cs="仿宋_GB2312" w:hAnsi="仿宋"/>
                <w:color w:val="000000"/>
                <w:kern w:val="0"/>
                <w:sz w:val="18"/>
                <w:szCs w:val="18"/>
              </w:rPr>
              <w:t>登记行为</w:t>
            </w:r>
            <w:r>
              <w:rPr>
                <w:rFonts w:ascii="仿宋" w:eastAsia="仿宋" w:cs="仿宋_GB2312" w:hAnsi="仿宋" w:hint="eastAsia"/>
                <w:color w:val="000000"/>
                <w:kern w:val="0"/>
                <w:sz w:val="18"/>
                <w:szCs w:val="18"/>
              </w:rPr>
              <w:t>之日起六十日内向行政复议机关提出行政复议。</w:t>
            </w:r>
          </w:p>
          <w:p>
            <w:pPr>
              <w:widowControl/>
              <w:spacing w:line="240" w:lineRule="exact"/>
              <w:jc w:val="left"/>
              <w:textAlignment w:val="center"/>
              <w:rPr>
                <w:rFonts w:ascii="仿宋" w:eastAsia="仿宋" w:cs="黑体" w:hAnsi="仿宋"/>
                <w:color w:val="000000"/>
                <w:sz w:val="24"/>
              </w:rPr>
            </w:pPr>
            <w:r>
              <w:rPr>
                <w:rFonts w:ascii="仿宋" w:eastAsia="仿宋" w:cs="仿宋_GB2312" w:hAnsi="仿宋" w:hint="eastAsia"/>
                <w:color w:val="000000"/>
                <w:kern w:val="0"/>
                <w:sz w:val="18"/>
                <w:szCs w:val="18"/>
              </w:rPr>
              <w:t>2．公民、</w:t>
            </w:r>
            <w:r>
              <w:rPr>
                <w:rFonts w:ascii="仿宋" w:eastAsia="仿宋" w:cs="仿宋_GB2312" w:hAnsi="仿宋"/>
                <w:color w:val="000000"/>
                <w:kern w:val="0"/>
                <w:sz w:val="18"/>
                <w:szCs w:val="18"/>
              </w:rPr>
              <w:t>法人或其他组织</w:t>
            </w:r>
            <w:r>
              <w:rPr>
                <w:rFonts w:ascii="仿宋" w:eastAsia="仿宋" w:cs="仿宋_GB2312" w:hAnsi="仿宋" w:hint="eastAsia"/>
                <w:color w:val="000000"/>
                <w:kern w:val="0"/>
                <w:sz w:val="18"/>
                <w:szCs w:val="18"/>
              </w:rPr>
              <w:t>认为登记</w:t>
            </w:r>
            <w:r>
              <w:rPr>
                <w:rFonts w:ascii="仿宋" w:eastAsia="仿宋" w:hAnsi="仿宋"/>
                <w:sz w:val="18"/>
                <w:szCs w:val="18"/>
              </w:rPr>
              <w:t>行为侵犯其合法权益的</w:t>
            </w:r>
            <w:r>
              <w:rPr>
                <w:rFonts w:ascii="仿宋" w:eastAsia="仿宋" w:hAnsi="仿宋"/>
              </w:rPr>
              <w:t>，</w:t>
            </w:r>
            <w:r>
              <w:rPr>
                <w:rFonts w:ascii="仿宋" w:eastAsia="仿宋" w:cs="仿宋_GB2312" w:hAnsi="仿宋" w:hint="eastAsia"/>
                <w:color w:val="000000"/>
                <w:kern w:val="0"/>
                <w:sz w:val="18"/>
                <w:szCs w:val="18"/>
              </w:rPr>
              <w:t>自知道</w:t>
            </w:r>
            <w:r>
              <w:rPr>
                <w:rFonts w:ascii="仿宋" w:eastAsia="仿宋" w:cs="仿宋_GB2312" w:hAnsi="仿宋"/>
                <w:color w:val="000000"/>
                <w:kern w:val="0"/>
                <w:sz w:val="18"/>
                <w:szCs w:val="18"/>
              </w:rPr>
              <w:t>登记行为</w:t>
            </w:r>
            <w:r>
              <w:rPr>
                <w:rFonts w:ascii="仿宋" w:eastAsia="仿宋" w:cs="仿宋_GB2312" w:hAnsi="仿宋" w:hint="eastAsia"/>
                <w:color w:val="000000"/>
                <w:kern w:val="0"/>
                <w:sz w:val="18"/>
                <w:szCs w:val="18"/>
              </w:rPr>
              <w:t>之日起六个月内向人民法院提起行政诉讼。</w:t>
            </w:r>
          </w:p>
        </w:tc>
      </w:tr>
      <w:tr>
        <w:trPr>
          <w:trHeight w:val="56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b/>
                <w:bCs/>
                <w:color w:val="000000"/>
                <w:szCs w:val="21"/>
              </w:rPr>
            </w:pP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仿宋">
    <w:panose1 w:val="02010609060101010101"/>
    <w:charset w:val="86"/>
    <w:family w:val="modern"/>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footer"/>
    <w:basedOn w:val="0"/>
    <w:pPr>
      <w:tabs>
        <w:tab w:val="center" w:pos="4153"/>
        <w:tab w:val="right" w:pos="8306"/>
      </w:tabs>
      <w:snapToGrid w:val="0"/>
      <w:jc w:val="left"/>
    </w:pPr>
    <w:rPr>
      <w:rFonts w:ascii="Calibri" w:eastAsia="宋体" w:cs="Arial" w:hAnsi="Calibri"/>
      <w:sz w:val="18"/>
      <w:szCs w:val="18"/>
    </w:rPr>
  </w:style>
  <w:style w:type="paragraph" w:styleId="16">
    <w:name w:val="header"/>
    <w:basedOn w:val="0"/>
    <w:pPr>
      <w:pBdr>
        <w:bottom w:val="single" w:sz="6" w:space="1" w:color="auto"/>
      </w:pBdr>
      <w:tabs>
        <w:tab w:val="center" w:pos="4153"/>
        <w:tab w:val="right" w:pos="8306"/>
      </w:tabs>
      <w:snapToGrid w:val="0"/>
      <w:jc w:val="center"/>
    </w:pPr>
    <w:rPr>
      <w:rFonts w:ascii="Calibri" w:eastAsia="宋体" w:cs="Arial" w:hAnsi="Calibri"/>
      <w:sz w:val="18"/>
      <w:szCs w:val="18"/>
    </w:rPr>
  </w:style>
  <w:style w:type="character" w:customStyle="1" w:styleId="17">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252A2DD2-1833-488C-A013-268A8CB01BE9}">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558</Characters>
  <Lines>0</Lines>
  <Paragraphs>3</Paragraphs>
  <CharactersWithSpaces>745</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creator>微软用户</dc:creator>
  <cp:lastModifiedBy>hp</cp:lastModifiedBy>
  <cp:revision>22</cp:revision>
  <dcterms:created xsi:type="dcterms:W3CDTF">2023-08-17T08:16:00Z</dcterms:created>
  <dcterms:modified xsi:type="dcterms:W3CDTF">2024-09-29T01:35:59Z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8CA123FB33C043118C175845F3A5EED3_12</vt:lpwstr>
  </property>
</Properties>
</file>